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751F" w14:textId="77777777" w:rsidR="00A572D2" w:rsidRPr="00485C57" w:rsidRDefault="00A572D2" w:rsidP="00A572D2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B266E" wp14:editId="3CEE0C20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1F5" w14:textId="77777777" w:rsidR="00A572D2" w:rsidRDefault="00A572D2" w:rsidP="00A57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B266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694491F5" w14:textId="77777777" w:rsidR="00A572D2" w:rsidRDefault="00A572D2" w:rsidP="00A572D2"/>
                  </w:txbxContent>
                </v:textbox>
              </v:shape>
            </w:pict>
          </mc:Fallback>
        </mc:AlternateContent>
      </w:r>
      <w:r>
        <w:rPr>
          <w:rFonts w:hAnsi="Arial" w:cs="Arial"/>
          <w:noProof/>
          <w:sz w:val="24"/>
          <w:lang w:eastAsia="da-DK"/>
        </w:rPr>
        <w:t xml:space="preserve">Dagsorden til </w:t>
      </w:r>
      <w:r>
        <w:rPr>
          <w:rFonts w:hAnsi="Arial" w:cs="Arial"/>
          <w:sz w:val="24"/>
        </w:rPr>
        <w:t>studienævnsmøde</w:t>
      </w:r>
      <w:r w:rsidRPr="00485C57">
        <w:rPr>
          <w:rFonts w:hAnsi="Arial" w:cs="Arial"/>
          <w:sz w:val="24"/>
        </w:rPr>
        <w:t xml:space="preserve"> – 0</w:t>
      </w:r>
      <w:r>
        <w:rPr>
          <w:rFonts w:hAnsi="Arial" w:cs="Arial"/>
          <w:sz w:val="24"/>
        </w:rPr>
        <w:t>7</w:t>
      </w:r>
      <w:r w:rsidRPr="00485C57">
        <w:rPr>
          <w:rFonts w:hAnsi="Arial" w:cs="Arial"/>
          <w:sz w:val="24"/>
        </w:rPr>
        <w:t>/20</w:t>
      </w:r>
      <w:r>
        <w:rPr>
          <w:rFonts w:hAnsi="Arial" w:cs="Arial"/>
          <w:sz w:val="24"/>
        </w:rPr>
        <w:t>22</w:t>
      </w:r>
    </w:p>
    <w:p w14:paraId="40F30BA4" w14:textId="77777777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Mandag</w:t>
      </w:r>
      <w:r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12</w:t>
      </w:r>
      <w:r w:rsidRPr="00C176BD">
        <w:rPr>
          <w:rFonts w:hAnsi="Arial" w:cs="Arial"/>
          <w:sz w:val="24"/>
        </w:rPr>
        <w:t xml:space="preserve">. </w:t>
      </w:r>
      <w:r>
        <w:rPr>
          <w:rFonts w:hAnsi="Arial" w:cs="Arial"/>
          <w:sz w:val="24"/>
        </w:rPr>
        <w:t>december</w:t>
      </w:r>
      <w:r w:rsidRPr="00C176BD">
        <w:rPr>
          <w:rFonts w:hAnsi="Arial" w:cs="Arial"/>
          <w:sz w:val="24"/>
        </w:rPr>
        <w:t xml:space="preserve"> 202</w:t>
      </w:r>
      <w:r>
        <w:rPr>
          <w:rFonts w:hAnsi="Arial" w:cs="Arial"/>
          <w:sz w:val="24"/>
        </w:rPr>
        <w:t>2</w:t>
      </w:r>
      <w:r w:rsidRPr="00C176BD">
        <w:rPr>
          <w:rFonts w:hAnsi="Arial" w:cs="Arial"/>
          <w:sz w:val="24"/>
        </w:rPr>
        <w:t xml:space="preserve"> kl. 1</w:t>
      </w:r>
      <w:r>
        <w:rPr>
          <w:rFonts w:hAnsi="Arial" w:cs="Arial"/>
          <w:sz w:val="24"/>
        </w:rPr>
        <w:t>4</w:t>
      </w:r>
      <w:r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00</w:t>
      </w:r>
      <w:r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5.00</w:t>
      </w:r>
    </w:p>
    <w:p w14:paraId="47126333" w14:textId="77777777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Placering: TBD</w:t>
      </w:r>
    </w:p>
    <w:p w14:paraId="27748674" w14:textId="77777777" w:rsidR="00A572D2" w:rsidRPr="00B62045" w:rsidRDefault="00A572D2" w:rsidP="00A572D2">
      <w:pPr>
        <w:rPr>
          <w:rFonts w:hAnsi="Arial" w:cs="Arial"/>
          <w:sz w:val="28"/>
          <w:szCs w:val="24"/>
        </w:rPr>
      </w:pPr>
    </w:p>
    <w:p w14:paraId="3C56CB56" w14:textId="77777777" w:rsidR="00A572D2" w:rsidRPr="00B62045" w:rsidRDefault="00A572D2" w:rsidP="00A572D2">
      <w:pPr>
        <w:ind w:right="393"/>
        <w:rPr>
          <w:rFonts w:hAnsi="Arial" w:cs="Arial"/>
          <w:sz w:val="24"/>
          <w:szCs w:val="24"/>
        </w:rPr>
      </w:pPr>
      <w:r w:rsidRPr="00B62045">
        <w:rPr>
          <w:rFonts w:hAnsi="Arial" w:cs="Arial"/>
          <w:sz w:val="24"/>
          <w:szCs w:val="24"/>
          <w:u w:val="single"/>
        </w:rPr>
        <w:t>Medlemmer</w:t>
      </w:r>
      <w:r w:rsidRPr="00B62045">
        <w:rPr>
          <w:rFonts w:hAnsi="Arial" w:cs="Arial"/>
          <w:sz w:val="24"/>
          <w:szCs w:val="24"/>
        </w:rPr>
        <w:t>: Lone Dirckinck-Holmfeld</w:t>
      </w:r>
      <w:r>
        <w:rPr>
          <w:rFonts w:hAnsi="Arial" w:cs="Arial"/>
          <w:sz w:val="24"/>
          <w:szCs w:val="24"/>
        </w:rPr>
        <w:t xml:space="preserve"> (forkvinde)</w:t>
      </w:r>
      <w:r w:rsidRPr="00B62045">
        <w:rPr>
          <w:rFonts w:hAnsi="Arial" w:cs="Arial"/>
          <w:sz w:val="24"/>
          <w:szCs w:val="24"/>
        </w:rPr>
        <w:t>, Sofie Weikop</w:t>
      </w:r>
      <w:r>
        <w:rPr>
          <w:rFonts w:hAnsi="Arial" w:cs="Arial"/>
          <w:sz w:val="24"/>
          <w:szCs w:val="24"/>
        </w:rPr>
        <w:t xml:space="preserve"> (</w:t>
      </w:r>
      <w:proofErr w:type="spellStart"/>
      <w:r>
        <w:rPr>
          <w:rFonts w:hAnsi="Arial" w:cs="Arial"/>
          <w:sz w:val="24"/>
          <w:szCs w:val="24"/>
        </w:rPr>
        <w:t>næstforkvinde</w:t>
      </w:r>
      <w:proofErr w:type="spellEnd"/>
      <w:r>
        <w:rPr>
          <w:rFonts w:hAnsi="Arial" w:cs="Arial"/>
          <w:sz w:val="24"/>
          <w:szCs w:val="24"/>
        </w:rPr>
        <w:t>)</w:t>
      </w:r>
      <w:r w:rsidRPr="00B62045">
        <w:rPr>
          <w:rFonts w:hAnsi="Arial" w:cs="Arial"/>
          <w:sz w:val="24"/>
          <w:szCs w:val="24"/>
        </w:rPr>
        <w:t xml:space="preserve">, Mette Wichmand, Christian Dalsgaard, Lars Birch Andreasen, Tina Kirsten Harlev Nielsen, </w:t>
      </w:r>
      <w:r>
        <w:rPr>
          <w:rFonts w:hAnsi="Arial" w:cs="Arial"/>
          <w:sz w:val="24"/>
          <w:szCs w:val="24"/>
        </w:rPr>
        <w:t xml:space="preserve">Thorkild Hanghøj, </w:t>
      </w:r>
      <w:r w:rsidRPr="00B62045">
        <w:rPr>
          <w:rFonts w:hAnsi="Arial" w:cs="Arial"/>
          <w:sz w:val="24"/>
          <w:szCs w:val="24"/>
        </w:rPr>
        <w:t>Bjarke Madsbøll (referent)</w:t>
      </w:r>
      <w:r>
        <w:rPr>
          <w:rFonts w:hAnsi="Arial" w:cs="Arial"/>
          <w:sz w:val="24"/>
          <w:szCs w:val="24"/>
        </w:rPr>
        <w:t>,</w:t>
      </w:r>
      <w:r w:rsidRPr="005F120B">
        <w:rPr>
          <w:rFonts w:hAnsi="Arial" w:cs="Arial"/>
          <w:sz w:val="24"/>
        </w:rPr>
        <w:t xml:space="preserve"> </w:t>
      </w:r>
      <w:r w:rsidRPr="00521246">
        <w:rPr>
          <w:rFonts w:hAnsi="Arial" w:cs="Arial"/>
          <w:sz w:val="24"/>
        </w:rPr>
        <w:t>Rasmus Paasch, Brith Aagaard,</w:t>
      </w:r>
      <w:r>
        <w:rPr>
          <w:rFonts w:hAnsi="Arial" w:cs="Arial"/>
          <w:sz w:val="24"/>
        </w:rPr>
        <w:t xml:space="preserve"> Anders Vejgaard, </w:t>
      </w:r>
      <w:r w:rsidRPr="00521246">
        <w:rPr>
          <w:rFonts w:hAnsi="Arial" w:cs="Arial"/>
          <w:sz w:val="24"/>
        </w:rPr>
        <w:t>Katrine Grud Jakobsen</w:t>
      </w:r>
      <w:r>
        <w:rPr>
          <w:rFonts w:hAnsi="Arial" w:cs="Arial"/>
          <w:sz w:val="24"/>
        </w:rPr>
        <w:t>,</w:t>
      </w:r>
      <w:r w:rsidRPr="00521246">
        <w:rPr>
          <w:rFonts w:hAnsi="Arial" w:cs="Arial"/>
          <w:sz w:val="24"/>
        </w:rPr>
        <w:t xml:space="preserve"> Michael Juul Nielsen</w:t>
      </w:r>
      <w:r>
        <w:rPr>
          <w:rFonts w:hAnsi="Arial" w:cs="Arial"/>
          <w:sz w:val="24"/>
        </w:rPr>
        <w:t xml:space="preserve"> (suppleant) </w:t>
      </w:r>
    </w:p>
    <w:p w14:paraId="68C368BF" w14:textId="77777777" w:rsidR="00A572D2" w:rsidRDefault="00A572D2" w:rsidP="00A572D2">
      <w:pPr>
        <w:rPr>
          <w:rFonts w:hAnsi="Arial" w:cs="Arial"/>
          <w:sz w:val="24"/>
        </w:rPr>
      </w:pPr>
    </w:p>
    <w:p w14:paraId="2B9664AB" w14:textId="75A6658C" w:rsidR="00A572D2" w:rsidRPr="003308AE" w:rsidRDefault="00A572D2" w:rsidP="00A572D2">
      <w:pPr>
        <w:rPr>
          <w:rFonts w:hAnsi="Arial" w:cs="Arial"/>
          <w:sz w:val="24"/>
          <w:lang w:val="en-US"/>
        </w:rPr>
      </w:pPr>
      <w:proofErr w:type="spellStart"/>
      <w:r w:rsidRPr="003308AE">
        <w:rPr>
          <w:rFonts w:hAnsi="Arial" w:cs="Arial"/>
          <w:sz w:val="24"/>
          <w:lang w:val="en-US"/>
        </w:rPr>
        <w:t>Observatører</w:t>
      </w:r>
      <w:proofErr w:type="spellEnd"/>
      <w:r w:rsidRPr="003308AE">
        <w:rPr>
          <w:rFonts w:hAnsi="Arial" w:cs="Arial"/>
          <w:sz w:val="24"/>
          <w:lang w:val="en-US"/>
        </w:rPr>
        <w:t>:</w:t>
      </w:r>
    </w:p>
    <w:p w14:paraId="43A0C292" w14:textId="77777777" w:rsidR="00A572D2" w:rsidRPr="003308AE" w:rsidRDefault="00A572D2" w:rsidP="00A572D2">
      <w:pPr>
        <w:rPr>
          <w:rFonts w:hAnsi="Arial" w:cs="Arial"/>
          <w:sz w:val="24"/>
          <w:lang w:val="en-US"/>
        </w:rPr>
      </w:pPr>
    </w:p>
    <w:p w14:paraId="09553BB3" w14:textId="77777777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</w:p>
    <w:p w14:paraId="25E001A5" w14:textId="77777777" w:rsidR="00A572D2" w:rsidRDefault="00A572D2" w:rsidP="00A572D2">
      <w:pPr>
        <w:rPr>
          <w:rFonts w:hAnsi="Arial" w:cs="Arial"/>
          <w:sz w:val="24"/>
        </w:rPr>
      </w:pPr>
    </w:p>
    <w:p w14:paraId="1DABD296" w14:textId="77777777" w:rsidR="00A572D2" w:rsidRPr="00307393" w:rsidRDefault="00A572D2" w:rsidP="00A572D2">
      <w:pPr>
        <w:rPr>
          <w:rFonts w:hAnsi="Arial" w:cs="Arial"/>
          <w:sz w:val="24"/>
        </w:rPr>
      </w:pPr>
    </w:p>
    <w:p w14:paraId="63BA8E72" w14:textId="77777777" w:rsidR="00A572D2" w:rsidRPr="00485C57" w:rsidRDefault="00A572D2" w:rsidP="00A572D2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DAGSORDEN</w:t>
      </w:r>
    </w:p>
    <w:p w14:paraId="06F78FF9" w14:textId="77777777" w:rsidR="00A572D2" w:rsidRPr="00485C57" w:rsidRDefault="00A572D2" w:rsidP="00A572D2">
      <w:pPr>
        <w:rPr>
          <w:rFonts w:hAnsi="Arial" w:cs="Arial"/>
        </w:rPr>
      </w:pPr>
    </w:p>
    <w:tbl>
      <w:tblPr>
        <w:tblStyle w:val="NormalTable0"/>
        <w:tblW w:w="10886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06"/>
        <w:gridCol w:w="8505"/>
        <w:gridCol w:w="283"/>
        <w:gridCol w:w="284"/>
        <w:gridCol w:w="283"/>
        <w:gridCol w:w="360"/>
      </w:tblGrid>
      <w:tr w:rsidR="00A572D2" w:rsidRPr="00485C57" w14:paraId="64E83148" w14:textId="77777777" w:rsidTr="00666A70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625AEDCA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606" w:type="dxa"/>
            <w:shd w:val="clear" w:color="auto" w:fill="365F91" w:themeFill="accent1" w:themeFillShade="BF"/>
          </w:tcPr>
          <w:p w14:paraId="55615046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3C07B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8505" w:type="dxa"/>
            <w:shd w:val="clear" w:color="auto" w:fill="365F91" w:themeFill="accent1" w:themeFillShade="BF"/>
          </w:tcPr>
          <w:p w14:paraId="11516ADE" w14:textId="77777777" w:rsidR="00A572D2" w:rsidRPr="00485C57" w:rsidRDefault="00A572D2" w:rsidP="00666A70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7B7D8D87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284" w:type="dxa"/>
            <w:shd w:val="clear" w:color="auto" w:fill="365F91" w:themeFill="accent1" w:themeFillShade="BF"/>
            <w:textDirection w:val="btLr"/>
          </w:tcPr>
          <w:p w14:paraId="1AAB6DCE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3DA031C2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btLr"/>
          </w:tcPr>
          <w:p w14:paraId="45A1A29D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A572D2" w:rsidRPr="00485C57" w14:paraId="385B3EAA" w14:textId="77777777" w:rsidTr="00666A70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3AB7859A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D8D34BF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</w:p>
        </w:tc>
        <w:tc>
          <w:tcPr>
            <w:tcW w:w="8505" w:type="dxa"/>
            <w:shd w:val="clear" w:color="auto" w:fill="DBE4F0"/>
          </w:tcPr>
          <w:p w14:paraId="1D2D4806" w14:textId="77777777" w:rsidR="00A572D2" w:rsidRPr="00485C57" w:rsidRDefault="00A572D2" w:rsidP="00666A70">
            <w:pPr>
              <w:pStyle w:val="Overskrift2"/>
              <w:ind w:right="448"/>
            </w:pPr>
            <w:r w:rsidRPr="00485C57">
              <w:t>Godkendelse af dagsorden</w:t>
            </w:r>
          </w:p>
          <w:p w14:paraId="6D30D057" w14:textId="77777777" w:rsidR="00A572D2" w:rsidRDefault="00A572D2" w:rsidP="00666A70">
            <w:pPr>
              <w:pStyle w:val="Overskrift3"/>
              <w:ind w:right="448"/>
            </w:pPr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4B5825C" w14:textId="77777777" w:rsidR="00A572D2" w:rsidRPr="0097247F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4256B480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3576B5E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BBEB8F6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ECA779A" w14:textId="77777777" w:rsidR="00A572D2" w:rsidRPr="00485C57" w:rsidRDefault="00A572D2" w:rsidP="00666A70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A572D2" w:rsidRPr="00485C57" w14:paraId="63AFCCB9" w14:textId="77777777" w:rsidTr="00666A70">
        <w:trPr>
          <w:trHeight w:val="91"/>
        </w:trPr>
        <w:tc>
          <w:tcPr>
            <w:tcW w:w="565" w:type="dxa"/>
            <w:shd w:val="clear" w:color="auto" w:fill="365F91" w:themeFill="accent1" w:themeFillShade="BF"/>
          </w:tcPr>
          <w:p w14:paraId="1F7FD301" w14:textId="77777777" w:rsidR="00A572D2" w:rsidRPr="008D582B" w:rsidRDefault="00A572D2" w:rsidP="00666A70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CE9FA3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AFFE3F6" w14:textId="597016BF" w:rsidR="00E65D98" w:rsidRPr="000A23D0" w:rsidRDefault="00E65D98" w:rsidP="00666A70">
            <w:pPr>
              <w:pStyle w:val="Overskrift2"/>
              <w:ind w:right="448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1</w:t>
            </w:r>
          </w:p>
          <w:p w14:paraId="6C48584D" w14:textId="2E707331" w:rsidR="00A572D2" w:rsidRPr="000A23D0" w:rsidRDefault="00E65D98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0A23D0">
              <w:rPr>
                <w:b w:val="0"/>
                <w:bCs w:val="0"/>
                <w:i/>
                <w:iCs/>
                <w:sz w:val="18"/>
                <w:szCs w:val="18"/>
              </w:rPr>
              <w:t>Dagsorden godkendes uden anmærkninger.</w:t>
            </w:r>
          </w:p>
          <w:p w14:paraId="62CEF49F" w14:textId="55CB1DF0" w:rsidR="00E65D98" w:rsidRPr="000A23D0" w:rsidRDefault="00E65D98" w:rsidP="00666A70">
            <w:pPr>
              <w:pStyle w:val="Overskrift2"/>
              <w:ind w:right="448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8B71BF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8977B23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65BC3E2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49768A98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A572D2" w:rsidRPr="00462781" w14:paraId="4C7B01E3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A4DB770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28322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15</w:t>
            </w:r>
          </w:p>
        </w:tc>
        <w:tc>
          <w:tcPr>
            <w:tcW w:w="8505" w:type="dxa"/>
            <w:shd w:val="clear" w:color="auto" w:fill="DBE4F0"/>
          </w:tcPr>
          <w:p w14:paraId="3BD12D0D" w14:textId="77777777" w:rsidR="00A572D2" w:rsidRDefault="00A572D2" w:rsidP="00666A70">
            <w:pPr>
              <w:pStyle w:val="Overskrift2"/>
            </w:pPr>
            <w:r>
              <w:t>Orienteringer fra forkvinden</w:t>
            </w:r>
          </w:p>
          <w:p w14:paraId="62BA1D8B" w14:textId="77777777" w:rsidR="00A572D2" w:rsidRDefault="00A572D2" w:rsidP="00666A70">
            <w:pPr>
              <w:pStyle w:val="Overskrift3"/>
            </w:pPr>
            <w:r>
              <w:t>v/ Lone Dirckinck-Holmfeld</w:t>
            </w:r>
          </w:p>
          <w:p w14:paraId="190C44D3" w14:textId="77777777" w:rsidR="00A572D2" w:rsidRDefault="00A572D2" w:rsidP="00666A70">
            <w:pPr>
              <w:pStyle w:val="Overskrift3"/>
            </w:pPr>
          </w:p>
          <w:p w14:paraId="06B918A4" w14:textId="77777777" w:rsidR="00A572D2" w:rsidRPr="00A572D2" w:rsidRDefault="0046596B" w:rsidP="00A572D2">
            <w:pPr>
              <w:pStyle w:val="Overskrift3"/>
              <w:numPr>
                <w:ilvl w:val="0"/>
                <w:numId w:val="30"/>
              </w:numPr>
              <w:ind w:left="823"/>
              <w:rPr>
                <w:lang w:val="en-US"/>
              </w:rPr>
            </w:pPr>
            <w:hyperlink r:id="rId8" w:history="1">
              <w:r w:rsidR="00A572D2" w:rsidRPr="00A572D2">
                <w:rPr>
                  <w:rStyle w:val="Hyperlink"/>
                  <w:lang w:val="en-US"/>
                </w:rPr>
                <w:t>MIL Open Academy</w:t>
              </w:r>
            </w:hyperlink>
            <w:r w:rsidR="00A572D2" w:rsidRPr="00A572D2">
              <w:rPr>
                <w:lang w:val="en-US"/>
              </w:rPr>
              <w:t xml:space="preserve"> website er live</w:t>
            </w:r>
          </w:p>
          <w:p w14:paraId="05F2F1B8" w14:textId="3F1C1F50" w:rsidR="00A572D2" w:rsidRDefault="00A572D2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Valgmoduler E23</w:t>
            </w:r>
          </w:p>
          <w:p w14:paraId="34EA261E" w14:textId="7BCE54C5" w:rsidR="009D7C52" w:rsidRDefault="009D7C52" w:rsidP="009D7C52">
            <w:pPr>
              <w:pStyle w:val="Overskrift3"/>
              <w:numPr>
                <w:ilvl w:val="1"/>
                <w:numId w:val="30"/>
              </w:numPr>
              <w:rPr>
                <w:lang w:val="en-US"/>
              </w:rPr>
            </w:pPr>
            <w:r w:rsidRPr="009D7C52">
              <w:rPr>
                <w:lang w:val="en-US"/>
              </w:rPr>
              <w:t xml:space="preserve">Digital </w:t>
            </w:r>
            <w:proofErr w:type="spellStart"/>
            <w:r w:rsidRPr="009D7C52">
              <w:rPr>
                <w:lang w:val="en-US"/>
              </w:rPr>
              <w:t>inklusion</w:t>
            </w:r>
            <w:proofErr w:type="spellEnd"/>
            <w:r w:rsidRPr="009D7C52">
              <w:rPr>
                <w:lang w:val="en-US"/>
              </w:rPr>
              <w:t xml:space="preserve"> </w:t>
            </w:r>
            <w:proofErr w:type="spellStart"/>
            <w:r w:rsidRPr="009D7C52">
              <w:rPr>
                <w:lang w:val="en-US"/>
              </w:rPr>
              <w:t>af</w:t>
            </w:r>
            <w:proofErr w:type="spellEnd"/>
            <w:r w:rsidRPr="009D7C52">
              <w:rPr>
                <w:lang w:val="en-US"/>
              </w:rPr>
              <w:t xml:space="preserve"> ’hard to reac</w:t>
            </w:r>
            <w:r>
              <w:rPr>
                <w:lang w:val="en-US"/>
              </w:rPr>
              <w:t>h learners’</w:t>
            </w:r>
          </w:p>
          <w:p w14:paraId="35970F04" w14:textId="234EA3C4" w:rsidR="009D7C52" w:rsidRPr="009D7C52" w:rsidRDefault="009D7C52" w:rsidP="009D7C52">
            <w:pPr>
              <w:pStyle w:val="Overskrift3"/>
              <w:numPr>
                <w:ilvl w:val="1"/>
                <w:numId w:val="30"/>
              </w:numPr>
            </w:pPr>
            <w:r w:rsidRPr="00F65BEA">
              <w:t>Udvikling af medarbejderkompetencer i virksomheders digitale omstilling</w:t>
            </w:r>
          </w:p>
          <w:p w14:paraId="1AED48DB" w14:textId="60627573" w:rsidR="009D7C52" w:rsidRPr="00F65BEA" w:rsidRDefault="009D7C52" w:rsidP="009D7C52">
            <w:pPr>
              <w:pStyle w:val="Overskrift3"/>
              <w:numPr>
                <w:ilvl w:val="1"/>
                <w:numId w:val="30"/>
              </w:numPr>
            </w:pPr>
            <w:r w:rsidRPr="00F65BEA">
              <w:t>Teknologidrevet ledelsesinnovation – paradokser i samspillet mellem humane og non-humane ressourcer</w:t>
            </w:r>
          </w:p>
          <w:p w14:paraId="3C409B43" w14:textId="29ADD73C" w:rsidR="009D7C52" w:rsidRDefault="009D7C52" w:rsidP="009D7C52">
            <w:pPr>
              <w:pStyle w:val="Overskrift3"/>
              <w:numPr>
                <w:ilvl w:val="1"/>
                <w:numId w:val="3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Scenariedidaktik</w:t>
            </w:r>
            <w:proofErr w:type="spellEnd"/>
            <w:r>
              <w:rPr>
                <w:lang w:val="en-US"/>
              </w:rPr>
              <w:t xml:space="preserve"> og </w:t>
            </w:r>
            <w:proofErr w:type="spellStart"/>
            <w:r>
              <w:rPr>
                <w:lang w:val="en-US"/>
              </w:rPr>
              <w:t>digitale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læringsressourcer</w:t>
            </w:r>
            <w:proofErr w:type="spellEnd"/>
          </w:p>
          <w:p w14:paraId="0D26E2E8" w14:textId="5BD76277" w:rsidR="009D7C52" w:rsidRDefault="009D7C52" w:rsidP="009D7C52">
            <w:pPr>
              <w:pStyle w:val="Overskrift3"/>
              <w:numPr>
                <w:ilvl w:val="1"/>
                <w:numId w:val="3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Intelligente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teknologier</w:t>
            </w:r>
            <w:proofErr w:type="spellEnd"/>
            <w:r>
              <w:rPr>
                <w:lang w:val="en-US"/>
              </w:rPr>
              <w:t xml:space="preserve"> og </w:t>
            </w:r>
            <w:proofErr w:type="spellStart"/>
            <w:r>
              <w:rPr>
                <w:lang w:val="en-US"/>
              </w:rPr>
              <w:t>kommunikationsprocesser</w:t>
            </w:r>
            <w:proofErr w:type="spellEnd"/>
          </w:p>
          <w:p w14:paraId="7E06D968" w14:textId="45C7896D" w:rsidR="009D7C52" w:rsidRPr="009D7C52" w:rsidRDefault="009D7C52" w:rsidP="009D7C52">
            <w:pPr>
              <w:pStyle w:val="Overskrift3"/>
              <w:numPr>
                <w:ilvl w:val="1"/>
                <w:numId w:val="30"/>
              </w:numPr>
            </w:pPr>
            <w:r w:rsidRPr="009D7C52">
              <w:rPr>
                <w:i/>
                <w:iCs/>
              </w:rPr>
              <w:t xml:space="preserve">(Digitale kompetencer </w:t>
            </w:r>
            <w:r>
              <w:rPr>
                <w:i/>
                <w:iCs/>
              </w:rPr>
              <w:t>i</w:t>
            </w:r>
            <w:r w:rsidRPr="009D7C52">
              <w:rPr>
                <w:i/>
                <w:iCs/>
              </w:rPr>
              <w:t xml:space="preserve"> og p</w:t>
            </w:r>
            <w:r>
              <w:rPr>
                <w:i/>
                <w:iCs/>
              </w:rPr>
              <w:t>å tværs af fagområder)</w:t>
            </w:r>
          </w:p>
          <w:p w14:paraId="1643785F" w14:textId="6CE1B371" w:rsidR="009D7C52" w:rsidRPr="009D7C52" w:rsidRDefault="009D7C52" w:rsidP="009D7C52">
            <w:pPr>
              <w:pStyle w:val="Overskrift3"/>
              <w:numPr>
                <w:ilvl w:val="1"/>
                <w:numId w:val="30"/>
              </w:numPr>
            </w:pPr>
            <w:r>
              <w:rPr>
                <w:i/>
                <w:iCs/>
              </w:rPr>
              <w:t xml:space="preserve">(Globale </w:t>
            </w:r>
            <w:proofErr w:type="spellStart"/>
            <w:r>
              <w:rPr>
                <w:i/>
                <w:iCs/>
              </w:rPr>
              <w:t>makerspaces</w:t>
            </w:r>
            <w:proofErr w:type="spellEnd"/>
            <w:r>
              <w:rPr>
                <w:i/>
                <w:iCs/>
              </w:rPr>
              <w:t>)</w:t>
            </w:r>
          </w:p>
          <w:p w14:paraId="542FE4C7" w14:textId="01FA0506" w:rsidR="00A572D2" w:rsidRDefault="00A572D2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 xml:space="preserve">Fredagsforelæsning på </w:t>
            </w:r>
            <w:proofErr w:type="spellStart"/>
            <w:r>
              <w:t>januarseminaret</w:t>
            </w:r>
            <w:proofErr w:type="spellEnd"/>
          </w:p>
          <w:p w14:paraId="6F9F6808" w14:textId="44F36B55" w:rsidR="00F65BEA" w:rsidRDefault="00F65BEA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Fokusgruppeinterview med ILOO-alumner</w:t>
            </w:r>
          </w:p>
          <w:p w14:paraId="496974D2" w14:textId="1B03B87B" w:rsidR="000A23D0" w:rsidRDefault="000A23D0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Årets underviser på MIL: Rikke Toft Nørgård</w:t>
            </w:r>
          </w:p>
          <w:p w14:paraId="5D3F6B72" w14:textId="77777777" w:rsidR="00A572D2" w:rsidRPr="00E800ED" w:rsidRDefault="00A572D2" w:rsidP="009D7C52">
            <w:pPr>
              <w:pStyle w:val="Overskrift3"/>
              <w:ind w:left="0" w:right="448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6509D79E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45A1B51F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7AE2F3D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2057343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7B43091E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6044E7D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E43CFE7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03AC65A3" w14:textId="0E13F4D7" w:rsidR="00A572D2" w:rsidRPr="000A23D0" w:rsidRDefault="00E65D98" w:rsidP="00666A70">
            <w:pPr>
              <w:pStyle w:val="Overskrift2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2.1</w:t>
            </w:r>
          </w:p>
          <w:p w14:paraId="1D9D2443" w14:textId="16960837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Mulighed for at tilmelde sig notifikation om nye indlæg?</w:t>
            </w:r>
          </w:p>
          <w:p w14:paraId="2044EAAD" w14:textId="461C306E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arbejdes på at gøre mindre tungt at afspille.</w:t>
            </w:r>
          </w:p>
          <w:p w14:paraId="427AB3BE" w14:textId="784E5A4F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0EB842E" w14:textId="208EC772" w:rsidR="00E65D98" w:rsidRPr="000A23D0" w:rsidRDefault="00E65D98" w:rsidP="00E65D98">
            <w:pPr>
              <w:pStyle w:val="Overskrift2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2.2</w:t>
            </w:r>
          </w:p>
          <w:p w14:paraId="20862D4B" w14:textId="14BF2F92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 to første moduler er udsprunget af et projekt fra K-ILD forskningsgruppen.</w:t>
            </w:r>
          </w:p>
          <w:p w14:paraId="0590B41B" w14:textId="3695FE2F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Man kunne overveje at ændre til ”Intelligente teknologier og </w:t>
            </w:r>
            <w:r w:rsidRPr="00E65D98">
              <w:rPr>
                <w:i/>
                <w:iCs/>
                <w:sz w:val="18"/>
                <w:szCs w:val="18"/>
              </w:rPr>
              <w:t>lærings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processer</w:t>
            </w:r>
          </w:p>
          <w:p w14:paraId="33451F00" w14:textId="41E2D415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lastRenderedPageBreak/>
              <w:t>Det foreslås at ”Udvikling af medarbejderkompetencer…” udskydes til F24.</w:t>
            </w:r>
          </w:p>
          <w:p w14:paraId="35EF12AE" w14:textId="05A44025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spørges ind til, om undervisningen kan flyttes til en anden lokation, såfremt en given virksomhed optager nok pladser til at starte holdet.</w:t>
            </w:r>
          </w:p>
          <w:p w14:paraId="093D733B" w14:textId="143CF665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kan sagtens lade sig gøre, men modulet skal stadig udbydes åbent, så andre også kan deltage.</w:t>
            </w:r>
          </w:p>
          <w:p w14:paraId="01C54ED9" w14:textId="096E7942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E2E82B6" w14:textId="4B22B5B9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foreslås, at der lægges op til at invitere forslag fra studerende til nye valgmoduler.</w:t>
            </w:r>
          </w:p>
          <w:p w14:paraId="0A11FE6F" w14:textId="6F5A8FBC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0490DF8" w14:textId="11F7D37B" w:rsidR="00E65D98" w:rsidRPr="000A23D0" w:rsidRDefault="00E65D98" w:rsidP="00E65D98">
            <w:pPr>
              <w:pStyle w:val="Overskrift2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2.3</w:t>
            </w:r>
          </w:p>
          <w:p w14:paraId="6B78CC27" w14:textId="285D8456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GDPR-problematik</w:t>
            </w:r>
            <w:r w:rsidR="000A23D0">
              <w:rPr>
                <w:b w:val="0"/>
                <w:bCs w:val="0"/>
                <w:i/>
                <w:iCs/>
                <w:sz w:val="18"/>
                <w:szCs w:val="18"/>
              </w:rPr>
              <w:t>. Har tidligere været oppe, men er først blevet muligt nu, og særligt nu også da Office365 er blevet afvist af alle tyske delstater.</w:t>
            </w:r>
          </w:p>
          <w:p w14:paraId="18F96059" w14:textId="26AA9309" w:rsidR="000A23D0" w:rsidRDefault="000A23D0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Thomas </w:t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</w:rPr>
              <w:t>Grønbeck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Andersen.</w:t>
            </w:r>
          </w:p>
          <w:p w14:paraId="78D79828" w14:textId="01F53936" w:rsidR="000A23D0" w:rsidRDefault="000A23D0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7A077B4" w14:textId="37D15EE9" w:rsidR="000A23D0" w:rsidRDefault="000A23D0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bred opbakning til dette i studienævnet.</w:t>
            </w:r>
          </w:p>
          <w:p w14:paraId="100CDD19" w14:textId="588ACE37" w:rsidR="000A23D0" w:rsidRDefault="000A23D0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015EE6B" w14:textId="7EFBEF4A" w:rsidR="000A23D0" w:rsidRPr="000A23D0" w:rsidRDefault="000A23D0" w:rsidP="00E65D98">
            <w:pPr>
              <w:pStyle w:val="Overskrift2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2.4</w:t>
            </w:r>
          </w:p>
          <w:p w14:paraId="59C6B18B" w14:textId="53B8EC98" w:rsidR="00E65D98" w:rsidRDefault="000A23D0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En kandidatuddannelse på ILOO</w:t>
            </w:r>
          </w:p>
          <w:p w14:paraId="7B5F5EA7" w14:textId="77777777" w:rsidR="00E65D98" w:rsidRDefault="00E65D98" w:rsidP="00E65D98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BACC35C" w14:textId="77777777" w:rsidR="00E65D98" w:rsidRDefault="00E65D98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2A7FC8F" w14:textId="77777777" w:rsidR="00E65D98" w:rsidRDefault="00E65D98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A8B9720" w14:textId="2DCFA98B" w:rsidR="00E65D98" w:rsidRPr="00CF0D1D" w:rsidRDefault="00E65D98" w:rsidP="00666A70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31880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5F3C79D7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2E1B0C44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5EB25A67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06C025BB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5C1ACB9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20C13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15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25</w:t>
            </w:r>
          </w:p>
        </w:tc>
        <w:tc>
          <w:tcPr>
            <w:tcW w:w="8505" w:type="dxa"/>
            <w:shd w:val="clear" w:color="auto" w:fill="DBE4F0"/>
          </w:tcPr>
          <w:p w14:paraId="24568946" w14:textId="77777777" w:rsidR="00A572D2" w:rsidRDefault="00A572D2" w:rsidP="00666A70">
            <w:pPr>
              <w:pStyle w:val="Overskrift2"/>
            </w:pPr>
            <w:r>
              <w:t xml:space="preserve">Drøftelse af flytning af </w:t>
            </w:r>
            <w:proofErr w:type="spellStart"/>
            <w:r>
              <w:t>oktoberseminar</w:t>
            </w:r>
            <w:proofErr w:type="spellEnd"/>
            <w:r>
              <w:t xml:space="preserve"> til uge 44</w:t>
            </w:r>
          </w:p>
          <w:p w14:paraId="26DD0ABD" w14:textId="77777777" w:rsidR="00A572D2" w:rsidRPr="003308AE" w:rsidRDefault="00A572D2" w:rsidP="00666A70">
            <w:pPr>
              <w:pStyle w:val="Overskrift3"/>
              <w:ind w:right="448"/>
            </w:pPr>
            <w:r w:rsidRPr="003308AE">
              <w:t>v/ alle</w:t>
            </w:r>
          </w:p>
          <w:p w14:paraId="08F1CA02" w14:textId="77777777" w:rsidR="00A572D2" w:rsidRPr="003308AE" w:rsidRDefault="00A572D2" w:rsidP="00666A70">
            <w:pPr>
              <w:pStyle w:val="Overskrift3"/>
              <w:ind w:right="448"/>
            </w:pPr>
          </w:p>
          <w:p w14:paraId="3EDF5DEF" w14:textId="77777777" w:rsidR="00A572D2" w:rsidRDefault="00A572D2" w:rsidP="00666A70">
            <w:pPr>
              <w:pStyle w:val="Overskrift3"/>
              <w:ind w:right="448"/>
            </w:pPr>
            <w:r>
              <w:t>I oktober 2023 afholdes en stor konference i Aalborg, hvilket betyder, at alle hoteller fuldt booket.</w:t>
            </w:r>
          </w:p>
          <w:p w14:paraId="1A235DF0" w14:textId="77777777" w:rsidR="00A572D2" w:rsidRDefault="00A572D2" w:rsidP="00666A70">
            <w:pPr>
              <w:pStyle w:val="Overskrift3"/>
              <w:ind w:right="448"/>
            </w:pPr>
            <w:r>
              <w:t>Da der i København afvikles studiepraktik, er det derfor heller ikke muligt at være i København.</w:t>
            </w:r>
          </w:p>
          <w:p w14:paraId="59D777EF" w14:textId="77777777" w:rsidR="00A572D2" w:rsidRDefault="00A572D2" w:rsidP="00666A70">
            <w:pPr>
              <w:pStyle w:val="Overskrift3"/>
              <w:ind w:right="448"/>
            </w:pPr>
          </w:p>
          <w:p w14:paraId="3A20EB0F" w14:textId="77777777" w:rsidR="00A572D2" w:rsidRDefault="00A572D2" w:rsidP="00666A70">
            <w:pPr>
              <w:pStyle w:val="Overskrift3"/>
              <w:ind w:right="448"/>
            </w:pPr>
            <w:r>
              <w:t>Da der er knyttet både store udgifter og manglende kontrol ved at afholde seminaret hos en ekstern udbyder, foreslås det at rykke seminaret en uge.</w:t>
            </w:r>
          </w:p>
          <w:p w14:paraId="1BE6731F" w14:textId="77777777" w:rsidR="00A572D2" w:rsidRDefault="00A572D2" w:rsidP="00666A70">
            <w:pPr>
              <w:pStyle w:val="Overskrift3"/>
              <w:ind w:right="448"/>
            </w:pPr>
          </w:p>
          <w:p w14:paraId="72DB297A" w14:textId="77777777" w:rsidR="00A572D2" w:rsidRPr="003308AE" w:rsidRDefault="00A572D2" w:rsidP="00666A70">
            <w:pPr>
              <w:pStyle w:val="Overskrift3"/>
              <w:ind w:right="448"/>
            </w:pPr>
            <w:r>
              <w:t>Dette betyder, at seminaret afvikles i uge 2 af modulet, og nævnet skal drøfte fordele og ulemper ved dette.</w:t>
            </w:r>
          </w:p>
          <w:p w14:paraId="5CD31685" w14:textId="77777777" w:rsidR="00A572D2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2913C70E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76C83CA6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7ACBA0F7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70EB1CE3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A572D2" w:rsidRPr="00462781" w14:paraId="5C814668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47434C1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9187DF8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180EB1B8" w14:textId="12EE3230" w:rsidR="00A572D2" w:rsidRPr="000A23D0" w:rsidRDefault="000A23D0" w:rsidP="00666A70">
            <w:pPr>
              <w:pStyle w:val="Overskrift2"/>
              <w:ind w:right="141"/>
              <w:rPr>
                <w:sz w:val="18"/>
                <w:szCs w:val="18"/>
              </w:rPr>
            </w:pPr>
            <w:r w:rsidRPr="000A23D0">
              <w:rPr>
                <w:sz w:val="18"/>
                <w:szCs w:val="18"/>
              </w:rPr>
              <w:t>Ad 3</w:t>
            </w:r>
          </w:p>
          <w:p w14:paraId="5708259E" w14:textId="437B0BE4" w:rsidR="000A23D0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udtrykkes stor bekymring om at flytte det til uge 44, da det forventes at give store pædagogiske udfordringer</w:t>
            </w:r>
            <w:r w:rsidR="00CC3B31">
              <w:rPr>
                <w:b w:val="0"/>
                <w:bCs w:val="0"/>
                <w:i/>
                <w:iCs/>
                <w:sz w:val="18"/>
                <w:szCs w:val="18"/>
              </w:rPr>
              <w:t>, og de indledende øvelser, der afholdes på seminaret, vurderes at være for sene to uger inde i forløbet, da det giver et for stort et pres til den resterende del af modulet.</w:t>
            </w:r>
          </w:p>
          <w:p w14:paraId="0C520BBF" w14:textId="4299510A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A9F4A8B" w14:textId="6980186F" w:rsidR="00CC3B31" w:rsidRDefault="00CC3B3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Koordinationsgruppens medlemmer noterer sig, at nævnet ønsker en yderligere indsats på at kunne </w:t>
            </w:r>
          </w:p>
          <w:p w14:paraId="12C22105" w14:textId="77777777" w:rsidR="00CC3B31" w:rsidRDefault="00CC3B3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D3CB7BC" w14:textId="77777777" w:rsidR="00CC3B31" w:rsidRDefault="00CC3B3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EC6BE62" w14:textId="3C7986FF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en åben invitation til at afholde seminaret på EA Dania.</w:t>
            </w:r>
          </w:p>
          <w:p w14:paraId="5ADFD83D" w14:textId="58778D60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D778752" w14:textId="12632DE1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kan også være en mulighed at afsøge KU.</w:t>
            </w:r>
          </w:p>
          <w:p w14:paraId="01E3BAC7" w14:textId="45D3E563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spørges ind til CBS, men grundet deres meget latente status, vurderes k-gruppen/administrationen, at det er for usikkert.</w:t>
            </w:r>
          </w:p>
          <w:p w14:paraId="7C6BDCDF" w14:textId="51056034" w:rsidR="00B8591D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6489B35" w14:textId="0B164EBA" w:rsidR="00B8591D" w:rsidRPr="000A23D0" w:rsidRDefault="00B8591D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er modtaget</w:t>
            </w:r>
          </w:p>
          <w:p w14:paraId="3E6001F2" w14:textId="77777777" w:rsidR="000A23D0" w:rsidRDefault="000A23D0" w:rsidP="00666A70">
            <w:pPr>
              <w:pStyle w:val="Overskrift2"/>
              <w:ind w:right="141"/>
              <w:rPr>
                <w:i/>
                <w:iCs/>
              </w:rPr>
            </w:pPr>
          </w:p>
          <w:p w14:paraId="5CE36D03" w14:textId="77777777" w:rsidR="000A23D0" w:rsidRDefault="000A23D0" w:rsidP="00666A70">
            <w:pPr>
              <w:pStyle w:val="Overskrift2"/>
              <w:ind w:right="141"/>
              <w:rPr>
                <w:i/>
                <w:iCs/>
              </w:rPr>
            </w:pPr>
          </w:p>
          <w:p w14:paraId="4BA5733A" w14:textId="043769D3" w:rsidR="000A23D0" w:rsidRPr="00422540" w:rsidRDefault="000A23D0" w:rsidP="00666A70">
            <w:pPr>
              <w:pStyle w:val="Overskrift2"/>
              <w:ind w:right="141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254253A2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7C8F4657" w14:textId="77777777" w:rsidR="00A572D2" w:rsidRPr="00A711CB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1F8A654E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1B5D11D1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85C57" w14:paraId="237D7EA1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676E88F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AC49B8C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25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35</w:t>
            </w:r>
          </w:p>
        </w:tc>
        <w:tc>
          <w:tcPr>
            <w:tcW w:w="8505" w:type="dxa"/>
            <w:shd w:val="clear" w:color="auto" w:fill="DBE4F0"/>
          </w:tcPr>
          <w:p w14:paraId="639055C0" w14:textId="77777777" w:rsidR="00A572D2" w:rsidRDefault="00A572D2" w:rsidP="00666A70">
            <w:pPr>
              <w:pStyle w:val="Overskrift2"/>
              <w:ind w:right="448"/>
            </w:pPr>
            <w:r>
              <w:t>Forslag om at lade video indgå som del af eksamensopgave og ikke blot bilag</w:t>
            </w:r>
          </w:p>
          <w:p w14:paraId="33368563" w14:textId="77777777" w:rsidR="00A572D2" w:rsidRPr="00842368" w:rsidRDefault="00A572D2" w:rsidP="00666A70">
            <w:pPr>
              <w:pStyle w:val="Overskrift3"/>
              <w:ind w:right="448"/>
            </w:pPr>
            <w:r w:rsidRPr="00842368">
              <w:t xml:space="preserve">v/ </w:t>
            </w:r>
            <w:r>
              <w:t>Katrine Grud Jakobsen</w:t>
            </w:r>
          </w:p>
          <w:p w14:paraId="4DA7EA40" w14:textId="77777777" w:rsidR="00A572D2" w:rsidRPr="00842368" w:rsidRDefault="00A572D2" w:rsidP="00666A70">
            <w:pPr>
              <w:pStyle w:val="Overskrift3"/>
              <w:ind w:right="448"/>
            </w:pPr>
          </w:p>
          <w:p w14:paraId="3DD2776F" w14:textId="77777777" w:rsidR="00A572D2" w:rsidRPr="003308AE" w:rsidRDefault="00A572D2" w:rsidP="00666A70">
            <w:pPr>
              <w:pStyle w:val="Overskrift3"/>
              <w:ind w:right="448"/>
            </w:pPr>
            <w:r>
              <w:t xml:space="preserve">Punktforslaget drejer sig om, </w:t>
            </w:r>
            <w:r w:rsidRPr="003308AE">
              <w:t xml:space="preserve">hvordan prototyper kan præsenteres inde i eksamensopgaver. </w:t>
            </w:r>
          </w:p>
          <w:p w14:paraId="4E3CC387" w14:textId="77777777" w:rsidR="00A572D2" w:rsidRPr="003308AE" w:rsidRDefault="00A572D2" w:rsidP="00666A70">
            <w:pPr>
              <w:pStyle w:val="Overskrift3"/>
              <w:ind w:right="448"/>
            </w:pPr>
          </w:p>
          <w:p w14:paraId="0C25E298" w14:textId="77777777" w:rsidR="00A572D2" w:rsidRPr="003308AE" w:rsidRDefault="00A572D2" w:rsidP="00666A70">
            <w:pPr>
              <w:pStyle w:val="Overskrift3"/>
              <w:ind w:right="448"/>
            </w:pPr>
            <w:r>
              <w:t>F</w:t>
            </w:r>
            <w:r w:rsidRPr="003308AE">
              <w:t>orslag</w:t>
            </w:r>
            <w:r>
              <w:t>et</w:t>
            </w:r>
            <w:r w:rsidRPr="003308AE">
              <w:t xml:space="preserve"> er, at video fremover kan indgå i en eksamensopgave på lige fod med </w:t>
            </w:r>
            <w:r>
              <w:t>eksempelvis</w:t>
            </w:r>
            <w:r w:rsidRPr="003308AE">
              <w:t xml:space="preserve"> </w:t>
            </w:r>
            <w:r w:rsidRPr="003308AE">
              <w:lastRenderedPageBreak/>
              <w:t xml:space="preserve">screenshots - dvs. ikke som bilag, men som en del af opgaven, der tæller. </w:t>
            </w:r>
          </w:p>
          <w:p w14:paraId="24729ED0" w14:textId="77777777" w:rsidR="00A572D2" w:rsidRPr="003308AE" w:rsidRDefault="00A572D2" w:rsidP="00666A70">
            <w:pPr>
              <w:pStyle w:val="Overskrift3"/>
              <w:ind w:right="448"/>
            </w:pPr>
          </w:p>
          <w:p w14:paraId="5C4350E0" w14:textId="6C9D2416" w:rsidR="00A572D2" w:rsidRDefault="00A572D2" w:rsidP="00666A70">
            <w:pPr>
              <w:pStyle w:val="Overskrift3"/>
              <w:ind w:right="448"/>
            </w:pPr>
            <w:r>
              <w:t>F</w:t>
            </w:r>
            <w:r w:rsidRPr="003308AE">
              <w:t>orslag</w:t>
            </w:r>
            <w:r>
              <w:t>et</w:t>
            </w:r>
            <w:r w:rsidRPr="003308AE">
              <w:t xml:space="preserve"> er foranlediget af, at det er svært at få givet eksaminator et retvisende indblik i et </w:t>
            </w:r>
            <w:proofErr w:type="spellStart"/>
            <w:r w:rsidRPr="003308AE">
              <w:t>Moodleflow</w:t>
            </w:r>
            <w:proofErr w:type="spellEnd"/>
            <w:r w:rsidRPr="003308AE">
              <w:t>, man har bygget</w:t>
            </w:r>
            <w:r>
              <w:t>,</w:t>
            </w:r>
            <w:r w:rsidRPr="003308AE">
              <w:t xml:space="preserve"> blot ved at indsætte screendumps i eksamensteksten</w:t>
            </w:r>
            <w:r w:rsidR="00D96EB9">
              <w:t>.</w:t>
            </w:r>
          </w:p>
          <w:p w14:paraId="1D828DE0" w14:textId="77777777" w:rsidR="00A572D2" w:rsidRPr="00D41532" w:rsidRDefault="00A572D2" w:rsidP="00666A70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283" w:type="dxa"/>
            <w:shd w:val="clear" w:color="auto" w:fill="DBE4F0"/>
          </w:tcPr>
          <w:p w14:paraId="34897E74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9C4E4D6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318B9E2A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43F827B" w14:textId="77777777" w:rsidR="00A572D2" w:rsidRDefault="00A572D2" w:rsidP="00666A70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A572D2" w:rsidRPr="00485C57" w14:paraId="4DD51D15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06FA714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66973C4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F7BA6CF" w14:textId="4BDE396E" w:rsidR="00A572D2" w:rsidRPr="00723062" w:rsidRDefault="00723062" w:rsidP="00666A70">
            <w:pPr>
              <w:pStyle w:val="Overskrift2"/>
              <w:ind w:right="448"/>
              <w:rPr>
                <w:sz w:val="18"/>
                <w:szCs w:val="18"/>
              </w:rPr>
            </w:pPr>
            <w:r w:rsidRPr="00723062">
              <w:rPr>
                <w:sz w:val="18"/>
                <w:szCs w:val="18"/>
              </w:rPr>
              <w:t>Ad 4</w:t>
            </w:r>
          </w:p>
          <w:p w14:paraId="70AFC580" w14:textId="55CBF485" w:rsidR="00460896" w:rsidRDefault="00B8591D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generelt opbakning til, at video må indgå i selve opgaven. Hertil skal så drøftes, hvor meget en video vægter i anslag</w:t>
            </w:r>
            <w:r w:rsidR="00460896">
              <w:rPr>
                <w:b w:val="0"/>
                <w:bCs w:val="0"/>
                <w:i/>
                <w:iCs/>
                <w:sz w:val="18"/>
                <w:szCs w:val="18"/>
              </w:rPr>
              <w:t xml:space="preserve">, da det skal tilpasses med timenormen for bedømmerne, når de </w:t>
            </w:r>
            <w:r w:rsidR="00CC3B31">
              <w:rPr>
                <w:b w:val="0"/>
                <w:bCs w:val="0"/>
                <w:i/>
                <w:iCs/>
                <w:sz w:val="18"/>
                <w:szCs w:val="18"/>
              </w:rPr>
              <w:t xml:space="preserve">derfor </w:t>
            </w:r>
            <w:r w:rsidR="00460896">
              <w:rPr>
                <w:b w:val="0"/>
                <w:bCs w:val="0"/>
                <w:i/>
                <w:iCs/>
                <w:sz w:val="18"/>
                <w:szCs w:val="18"/>
              </w:rPr>
              <w:t>forventes at have set den.</w:t>
            </w:r>
          </w:p>
          <w:p w14:paraId="72C0D4EF" w14:textId="77777777" w:rsidR="00460896" w:rsidRDefault="00460896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9EF1C72" w14:textId="65C4AA83" w:rsidR="00B8591D" w:rsidRDefault="00460896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BM tager kontakt til Uddannelsesjura og forhører om mulig eksisterende praksis, og om hvorvidt det er muligt at få skrevet ind i §17 i den eksisterende studieordning.</w:t>
            </w:r>
          </w:p>
          <w:p w14:paraId="468B2DAC" w14:textId="02267F52" w:rsidR="00B8591D" w:rsidRPr="0037704D" w:rsidRDefault="00B8591D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646408E8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6CB69BEC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34889F4D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8541C78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5D6A193E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3C98147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647141AE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35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45</w:t>
            </w:r>
          </w:p>
        </w:tc>
        <w:tc>
          <w:tcPr>
            <w:tcW w:w="8505" w:type="dxa"/>
            <w:shd w:val="clear" w:color="auto" w:fill="DBE4F0"/>
          </w:tcPr>
          <w:p w14:paraId="67F19596" w14:textId="16F48427" w:rsidR="00A572D2" w:rsidRDefault="00FF3365" w:rsidP="00666A70">
            <w:pPr>
              <w:pStyle w:val="Overskrift2"/>
              <w:ind w:right="448"/>
            </w:pPr>
            <w:r>
              <w:t>Oplæg om akademisk skrivning</w:t>
            </w:r>
          </w:p>
          <w:p w14:paraId="3A04927B" w14:textId="1F0AB536" w:rsidR="00A572D2" w:rsidRPr="00A572D2" w:rsidRDefault="00A572D2" w:rsidP="003409ED">
            <w:pPr>
              <w:pStyle w:val="Overskrift3"/>
            </w:pPr>
            <w:r w:rsidRPr="00A572D2">
              <w:t xml:space="preserve">v/ </w:t>
            </w:r>
            <w:r w:rsidR="00FF3365">
              <w:t>alle</w:t>
            </w:r>
          </w:p>
          <w:p w14:paraId="5C743D3E" w14:textId="77777777" w:rsidR="00A572D2" w:rsidRPr="00A572D2" w:rsidRDefault="00A572D2" w:rsidP="00666A70">
            <w:pPr>
              <w:pStyle w:val="Overskrift2"/>
              <w:ind w:right="448"/>
              <w:rPr>
                <w:b w:val="0"/>
                <w:bCs w:val="0"/>
              </w:rPr>
            </w:pPr>
          </w:p>
          <w:p w14:paraId="725E5514" w14:textId="3F06CD7D" w:rsidR="00A572D2" w:rsidRDefault="00A572D2" w:rsidP="003409ED">
            <w:pPr>
              <w:pStyle w:val="Overskrift3"/>
              <w:ind w:right="448"/>
            </w:pPr>
            <w:r w:rsidRPr="003409ED">
              <w:t xml:space="preserve">Ved gennemgang af </w:t>
            </w:r>
            <w:r w:rsidR="00FF3365">
              <w:t xml:space="preserve">evalueringer af </w:t>
            </w:r>
            <w:proofErr w:type="spellStart"/>
            <w:r w:rsidR="00FF3365">
              <w:t>januarseminaret</w:t>
            </w:r>
            <w:proofErr w:type="spellEnd"/>
            <w:r w:rsidR="00FF3365">
              <w:t xml:space="preserve"> 2022 er der flere anmærkninger om indlægget om akademisk skrivning. </w:t>
            </w:r>
          </w:p>
          <w:p w14:paraId="03061CF0" w14:textId="24B1E834" w:rsidR="00FF3365" w:rsidRPr="003409ED" w:rsidRDefault="00FF3365" w:rsidP="003409ED">
            <w:pPr>
              <w:pStyle w:val="Overskrift3"/>
              <w:ind w:right="448"/>
            </w:pPr>
            <w:r>
              <w:t>Det bemærkes</w:t>
            </w:r>
            <w:r w:rsidR="009B4F5F">
              <w:t>,</w:t>
            </w:r>
            <w:r>
              <w:t xml:space="preserve"> at oplægget tilstrækkeligt kunne gives via en video på Moodle, og at det var unødvendigt at bruge tid på seminaret til et oplæg.</w:t>
            </w:r>
          </w:p>
          <w:p w14:paraId="27F2CD23" w14:textId="77777777" w:rsidR="00A572D2" w:rsidRPr="003409ED" w:rsidRDefault="00A572D2" w:rsidP="003409ED">
            <w:pPr>
              <w:pStyle w:val="Overskrift3"/>
              <w:ind w:right="448"/>
            </w:pPr>
          </w:p>
          <w:p w14:paraId="28B48EB5" w14:textId="3E2D2C7A" w:rsidR="00A572D2" w:rsidRPr="003308AE" w:rsidRDefault="00A572D2" w:rsidP="003409ED">
            <w:pPr>
              <w:pStyle w:val="Overskrift3"/>
              <w:ind w:right="448"/>
              <w:rPr>
                <w:b/>
                <w:bCs/>
              </w:rPr>
            </w:pPr>
            <w:r w:rsidRPr="003409ED">
              <w:t>Derfor bør nævnet drøfte</w:t>
            </w:r>
            <w:r w:rsidR="00FF3365">
              <w:t>, om dette bør iscenesættes.</w:t>
            </w:r>
          </w:p>
          <w:p w14:paraId="31D38B2C" w14:textId="77777777" w:rsidR="00A572D2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1B8EF386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6211BAB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F2F4D9B" w14:textId="77777777" w:rsidR="00A572D2" w:rsidRDefault="00A572D2" w:rsidP="00666A70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360" w:type="dxa"/>
            <w:shd w:val="clear" w:color="auto" w:fill="DBE4F0"/>
          </w:tcPr>
          <w:p w14:paraId="64C10F05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671B580F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A5744FA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10FE026A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0D27106D" w14:textId="32325859" w:rsidR="00A572D2" w:rsidRPr="00460896" w:rsidRDefault="00460896" w:rsidP="00666A70">
            <w:pPr>
              <w:pStyle w:val="Overskrift2"/>
              <w:ind w:right="448"/>
              <w:rPr>
                <w:sz w:val="18"/>
                <w:szCs w:val="18"/>
              </w:rPr>
            </w:pPr>
            <w:r w:rsidRPr="00460896">
              <w:rPr>
                <w:sz w:val="18"/>
                <w:szCs w:val="18"/>
              </w:rPr>
              <w:t>Ad 5</w:t>
            </w:r>
          </w:p>
          <w:p w14:paraId="62FA3B45" w14:textId="6A66A580" w:rsidR="00EA7F24" w:rsidRDefault="00460896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Det bemærkes, at det i større grad handler om, at oplægget kommer </w:t>
            </w:r>
            <w:r w:rsidR="00EA7F24">
              <w:rPr>
                <w:b w:val="0"/>
                <w:bCs w:val="0"/>
                <w:i/>
                <w:iCs/>
                <w:sz w:val="18"/>
                <w:szCs w:val="18"/>
              </w:rPr>
              <w:t>for sent i uddannelsesforløbet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– ikke selve oplægget.</w:t>
            </w:r>
            <w:r w:rsidR="00EA7F24">
              <w:rPr>
                <w:b w:val="0"/>
                <w:bCs w:val="0"/>
                <w:i/>
                <w:iCs/>
                <w:sz w:val="18"/>
                <w:szCs w:val="18"/>
              </w:rPr>
              <w:t xml:space="preserve"> Det er ikke blot viden, der bruges i projektmodulerne, men også i kernemodulerne, hvorfor det også er gavnligt for enkeltmodulstuderende, at oplægget er tilgængeligt på video helt fra starten af.</w:t>
            </w:r>
          </w:p>
          <w:p w14:paraId="7EE7FE95" w14:textId="251E873A" w:rsidR="00EA7F24" w:rsidRDefault="00EA7F24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F368188" w14:textId="03024678" w:rsidR="00EA7F24" w:rsidRDefault="00EA7F24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tages ad notam, og der arbejdes videre med at få Bente Meyer til at lave en video om oplægget.</w:t>
            </w:r>
          </w:p>
          <w:p w14:paraId="09562577" w14:textId="55FCFEB8" w:rsidR="00CC3B31" w:rsidRDefault="00CC3B31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Oplægget fastholdes på programmet til det kommende </w:t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</w:rPr>
              <w:t>januarseminar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, og derefter drøftes det, hvorvidt det er tilstrækkeligt med en video til september, eller om der skal laves et oplæg på </w:t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</w:rPr>
              <w:t>septemberseminaret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</w:p>
          <w:p w14:paraId="7BAF5CF1" w14:textId="1C167007" w:rsidR="00460896" w:rsidRPr="00F830BC" w:rsidRDefault="00460896" w:rsidP="00666A7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118D91D9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7F20F4E4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E5FBE79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2A1AF450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01639356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F0E1DBB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B974015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45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55</w:t>
            </w:r>
          </w:p>
        </w:tc>
        <w:tc>
          <w:tcPr>
            <w:tcW w:w="8505" w:type="dxa"/>
            <w:shd w:val="clear" w:color="auto" w:fill="DBE4F0"/>
          </w:tcPr>
          <w:p w14:paraId="74826BD3" w14:textId="77777777" w:rsidR="00A572D2" w:rsidRDefault="00A572D2" w:rsidP="00666A70">
            <w:pPr>
              <w:pStyle w:val="Overskrift2"/>
              <w:ind w:right="448"/>
            </w:pPr>
            <w:r>
              <w:t xml:space="preserve">Handlingsplan – fastholdelse og rekruttering </w:t>
            </w:r>
          </w:p>
          <w:p w14:paraId="4A6F63C8" w14:textId="77777777" w:rsidR="00A572D2" w:rsidRDefault="00A572D2" w:rsidP="00666A70">
            <w:pPr>
              <w:pStyle w:val="Overskrift3"/>
              <w:ind w:right="448"/>
            </w:pPr>
            <w:r>
              <w:t>v/ Lone Dirckinck-Holmfeld</w:t>
            </w:r>
          </w:p>
          <w:p w14:paraId="2E53B950" w14:textId="77777777" w:rsidR="00A572D2" w:rsidRDefault="00A572D2" w:rsidP="00666A70">
            <w:pPr>
              <w:pStyle w:val="Overskrift2"/>
              <w:ind w:right="448"/>
            </w:pPr>
          </w:p>
          <w:p w14:paraId="5CF8FABE" w14:textId="77777777" w:rsidR="00A572D2" w:rsidRDefault="00A572D2" w:rsidP="00666A70">
            <w:pPr>
              <w:pStyle w:val="Overskrift3"/>
              <w:ind w:right="448"/>
            </w:pPr>
            <w:r>
              <w:t xml:space="preserve">Der er i sidste og forrige uge afholdt opstartsmøder med </w:t>
            </w:r>
            <w:proofErr w:type="spellStart"/>
            <w:r>
              <w:t>Carat</w:t>
            </w:r>
            <w:proofErr w:type="spellEnd"/>
            <w:r>
              <w:t xml:space="preserve"> og Creative Zoo om at udvikle en markedsføringsplan for 2023 for MIL.</w:t>
            </w:r>
          </w:p>
          <w:p w14:paraId="56B82C34" w14:textId="77777777" w:rsidR="00A572D2" w:rsidRDefault="00A572D2" w:rsidP="00666A70">
            <w:pPr>
              <w:pStyle w:val="Overskrift3"/>
              <w:ind w:right="448"/>
            </w:pPr>
          </w:p>
          <w:p w14:paraId="7284B748" w14:textId="2FB9884F" w:rsidR="00A572D2" w:rsidRDefault="00A572D2" w:rsidP="00666A70">
            <w:pPr>
              <w:pStyle w:val="Overskrift3"/>
              <w:ind w:right="448"/>
            </w:pPr>
            <w:r>
              <w:t>Til mødet deltog Lone Dirckinck-Holmfeld, Mette Wichmand, Bjarke Madsbøll, Pia Thorsen, Karin Jensen</w:t>
            </w:r>
            <w:r w:rsidR="005F36A5">
              <w:t xml:space="preserve"> og Thorkild Hanghøj.</w:t>
            </w:r>
          </w:p>
          <w:p w14:paraId="687830AD" w14:textId="77777777" w:rsidR="00A572D2" w:rsidRDefault="00A572D2" w:rsidP="00666A70">
            <w:pPr>
              <w:pStyle w:val="Overskrift3"/>
              <w:ind w:right="448"/>
            </w:pPr>
          </w:p>
          <w:p w14:paraId="65F04FDC" w14:textId="77777777" w:rsidR="00A572D2" w:rsidRDefault="00A572D2" w:rsidP="00666A70">
            <w:pPr>
              <w:pStyle w:val="Overskrift3"/>
              <w:ind w:right="448"/>
            </w:pPr>
            <w:r>
              <w:t>Møderne omhandlede en markedsføringsplan og arbejde om mere fængende og ”</w:t>
            </w:r>
            <w:proofErr w:type="spellStart"/>
            <w:r>
              <w:t>salgsbare</w:t>
            </w:r>
            <w:proofErr w:type="spellEnd"/>
            <w:r>
              <w:t>” beskrivelser af vores moduler.</w:t>
            </w:r>
          </w:p>
          <w:p w14:paraId="4F34A428" w14:textId="77777777" w:rsidR="00A572D2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318A685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5D1112B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08C705E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06BFA68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56666F04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417F001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5F4530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2EDF3D1" w14:textId="77777777" w:rsidR="00A572D2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6DAF674C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7D1ACEA9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8771392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B368A59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485C57" w14:paraId="030AC2DD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2BDE1DE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98ECD54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55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3667D487" w14:textId="77777777" w:rsidR="00A572D2" w:rsidRDefault="00A572D2" w:rsidP="00666A70">
            <w:pPr>
              <w:pStyle w:val="Overskrift2"/>
              <w:ind w:right="448"/>
            </w:pPr>
            <w:r>
              <w:t>Eventuelt</w:t>
            </w:r>
          </w:p>
          <w:p w14:paraId="4850FDAF" w14:textId="77777777" w:rsidR="00A572D2" w:rsidRDefault="00A572D2" w:rsidP="00666A70">
            <w:pPr>
              <w:pStyle w:val="Overskrift3"/>
              <w:ind w:right="448"/>
            </w:pPr>
            <w:r>
              <w:t xml:space="preserve">v/ alle </w:t>
            </w:r>
          </w:p>
          <w:p w14:paraId="6620F6B7" w14:textId="77777777" w:rsidR="00A572D2" w:rsidRDefault="00A572D2" w:rsidP="00666A70">
            <w:pPr>
              <w:pStyle w:val="Overskrift3"/>
              <w:ind w:right="448"/>
            </w:pPr>
          </w:p>
          <w:p w14:paraId="19A5CA03" w14:textId="77777777" w:rsidR="00A572D2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08438E6A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2BB2A43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151173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EF39E40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5E22B1" w14:paraId="4BB15EFF" w14:textId="77777777" w:rsidTr="00666A70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4EE24D72" w14:textId="77777777" w:rsidR="00A572D2" w:rsidRPr="008D582B" w:rsidRDefault="00A572D2" w:rsidP="00666A70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5AC1F69A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DBE4F0"/>
          </w:tcPr>
          <w:p w14:paraId="2AB6E32E" w14:textId="395BC4F4" w:rsidR="001E2572" w:rsidRPr="001E2572" w:rsidRDefault="001E2572" w:rsidP="001E2572">
            <w:pPr>
              <w:pStyle w:val="Overskrift2"/>
              <w:ind w:right="448"/>
              <w:rPr>
                <w:sz w:val="18"/>
                <w:szCs w:val="18"/>
              </w:rPr>
            </w:pPr>
            <w:r w:rsidRPr="001E2572">
              <w:rPr>
                <w:sz w:val="18"/>
                <w:szCs w:val="18"/>
              </w:rPr>
              <w:t>Ad 7</w:t>
            </w:r>
            <w:r>
              <w:rPr>
                <w:sz w:val="18"/>
                <w:szCs w:val="18"/>
              </w:rPr>
              <w:t>.2</w:t>
            </w:r>
          </w:p>
          <w:p w14:paraId="47FDB987" w14:textId="4D3F0026" w:rsidR="00A572D2" w:rsidRDefault="001E2572" w:rsidP="001E2572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1E2572">
              <w:rPr>
                <w:b w:val="0"/>
                <w:bCs w:val="0"/>
                <w:i/>
                <w:iCs/>
                <w:sz w:val="18"/>
                <w:szCs w:val="18"/>
              </w:rPr>
              <w:t>Bemærkning om, at Kernemodul 4 ikke var så givtigt.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Det var rigtig svært at komme igennem til vejleder, da det var tydeligt, at vedkommende havde alt for travlt.</w:t>
            </w:r>
          </w:p>
          <w:p w14:paraId="04F59DEE" w14:textId="6D52227F" w:rsidR="001E2572" w:rsidRDefault="001E2572" w:rsidP="001E2572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Dette </w:t>
            </w:r>
            <w:r w:rsidR="00CC3B31">
              <w:rPr>
                <w:b w:val="0"/>
                <w:bCs w:val="0"/>
                <w:i/>
                <w:iCs/>
                <w:sz w:val="18"/>
                <w:szCs w:val="18"/>
              </w:rPr>
              <w:t>vil blive drøftet ifm. behandlingen af evalueringerne på ét af de kommende møder.</w:t>
            </w:r>
          </w:p>
          <w:p w14:paraId="2EE4BDC0" w14:textId="18503569" w:rsidR="001E2572" w:rsidRDefault="001E2572" w:rsidP="001E2572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81DBBA2" w14:textId="0B5BF4B4" w:rsidR="001E2572" w:rsidRPr="001E2572" w:rsidRDefault="001E2572" w:rsidP="001E2572">
            <w:pPr>
              <w:pStyle w:val="Overskrift2"/>
              <w:ind w:right="448"/>
              <w:rPr>
                <w:sz w:val="18"/>
                <w:szCs w:val="18"/>
              </w:rPr>
            </w:pPr>
            <w:r w:rsidRPr="001E2572">
              <w:rPr>
                <w:sz w:val="18"/>
                <w:szCs w:val="18"/>
              </w:rPr>
              <w:lastRenderedPageBreak/>
              <w:t>Ad 7.2</w:t>
            </w:r>
          </w:p>
          <w:p w14:paraId="3B78117C" w14:textId="2B2A6AE1" w:rsidR="001E2572" w:rsidRDefault="001E2572" w:rsidP="001E2572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Det har været kommentarer om, at det er problematisk, at vi allerede starter masterprojektforløb op på </w:t>
            </w:r>
            <w:proofErr w:type="spellStart"/>
            <w:r>
              <w:rPr>
                <w:b w:val="0"/>
                <w:bCs w:val="0"/>
                <w:i/>
                <w:iCs/>
                <w:sz w:val="18"/>
                <w:szCs w:val="18"/>
              </w:rPr>
              <w:t>oktoberseminaret</w:t>
            </w:r>
            <w:proofErr w:type="spellEnd"/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, da folk ikke er forberedte på det – særligt ikke enkeltmodulstuderende – da </w:t>
            </w:r>
            <w:r w:rsidR="00CC3B31">
              <w:rPr>
                <w:b w:val="0"/>
                <w:bCs w:val="0"/>
                <w:i/>
                <w:iCs/>
                <w:sz w:val="18"/>
                <w:szCs w:val="18"/>
              </w:rPr>
              <w:t>det reelt set er et forårsmodul, og for studerende på hele MIL er det for meget at starte tre forskellige forløb op på samme seminar.</w:t>
            </w:r>
          </w:p>
          <w:p w14:paraId="15530F16" w14:textId="5AB80F24" w:rsidR="00CC3B31" w:rsidRPr="001E2572" w:rsidRDefault="00CC3B31" w:rsidP="001E2572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besluttes, at dette skal drøftes nærmere som selvstændigt punkt på studienævnsmødet i januar.</w:t>
            </w:r>
          </w:p>
          <w:p w14:paraId="23CEB001" w14:textId="77777777" w:rsidR="001E2572" w:rsidRPr="001E2572" w:rsidRDefault="001E2572" w:rsidP="001E2572">
            <w:pPr>
              <w:pStyle w:val="Overskrift2"/>
              <w:ind w:right="448"/>
              <w:rPr>
                <w:sz w:val="18"/>
                <w:szCs w:val="18"/>
              </w:rPr>
            </w:pPr>
          </w:p>
          <w:p w14:paraId="5E1E657C" w14:textId="08439598" w:rsidR="001E2572" w:rsidRPr="005E22B1" w:rsidRDefault="001E2572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F282355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1E05330" w14:textId="77777777" w:rsidR="00A572D2" w:rsidRPr="005E22B1" w:rsidRDefault="00A572D2" w:rsidP="00666A70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5E43414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3EAE9C5D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</w:tr>
    </w:tbl>
    <w:p w14:paraId="6E9633DA" w14:textId="77777777" w:rsidR="00A572D2" w:rsidRDefault="00A572D2" w:rsidP="00A572D2">
      <w:pPr>
        <w:pStyle w:val="Overskrift3"/>
      </w:pPr>
    </w:p>
    <w:p w14:paraId="13501C86" w14:textId="77777777" w:rsidR="00A572D2" w:rsidRPr="00485C57" w:rsidRDefault="00A572D2" w:rsidP="00A572D2">
      <w:pPr>
        <w:pStyle w:val="Overskrift3"/>
      </w:pPr>
    </w:p>
    <w:p w14:paraId="0362EA92" w14:textId="77777777" w:rsidR="00A572D2" w:rsidRDefault="00A572D2" w:rsidP="00A572D2">
      <w:pPr>
        <w:pStyle w:val="Overskrift3"/>
      </w:pPr>
      <w:r w:rsidRPr="00485C57">
        <w:t xml:space="preserve">Emner til </w:t>
      </w:r>
      <w:r>
        <w:t>fremtidige møder:</w:t>
      </w:r>
    </w:p>
    <w:p w14:paraId="04CD84C3" w14:textId="77777777" w:rsidR="00A572D2" w:rsidRDefault="00A572D2" w:rsidP="00A572D2">
      <w:pPr>
        <w:pStyle w:val="Overskrift3"/>
      </w:pPr>
    </w:p>
    <w:p w14:paraId="5B6AD646" w14:textId="77777777" w:rsidR="00A572D2" w:rsidRPr="00A6457B" w:rsidRDefault="00A572D2" w:rsidP="00A572D2">
      <w:pPr>
        <w:pStyle w:val="Overskrift3"/>
      </w:pPr>
    </w:p>
    <w:p w14:paraId="23E8017F" w14:textId="77777777" w:rsidR="00FF081A" w:rsidRPr="00F273AB" w:rsidRDefault="00FF081A" w:rsidP="00F273AB"/>
    <w:sectPr w:rsidR="00FF081A" w:rsidRPr="00F273AB" w:rsidSect="00BE7C73">
      <w:headerReference w:type="default" r:id="rId9"/>
      <w:footerReference w:type="default" r:id="rId10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EC3" w14:textId="77777777" w:rsidR="00A572D2" w:rsidRDefault="00A572D2" w:rsidP="003B000F">
      <w:pPr>
        <w:spacing w:line="240" w:lineRule="auto"/>
      </w:pPr>
      <w:r>
        <w:separator/>
      </w:r>
    </w:p>
  </w:endnote>
  <w:endnote w:type="continuationSeparator" w:id="0">
    <w:p w14:paraId="6F943EC8" w14:textId="77777777" w:rsidR="00A572D2" w:rsidRDefault="00A572D2" w:rsidP="003B000F">
      <w:pPr>
        <w:spacing w:line="240" w:lineRule="auto"/>
      </w:pPr>
      <w:r>
        <w:continuationSeparator/>
      </w:r>
    </w:p>
  </w:endnote>
  <w:endnote w:type="continuationNotice" w:id="1">
    <w:p w14:paraId="25C81D82" w14:textId="77777777" w:rsidR="00A572D2" w:rsidRDefault="00A572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EE4" w14:textId="77777777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22FE3985" wp14:editId="0DF16721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8B4E7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3277" w14:textId="77777777" w:rsidR="00A572D2" w:rsidRDefault="00A572D2" w:rsidP="003B000F">
      <w:pPr>
        <w:spacing w:line="240" w:lineRule="auto"/>
      </w:pPr>
      <w:r>
        <w:separator/>
      </w:r>
    </w:p>
  </w:footnote>
  <w:footnote w:type="continuationSeparator" w:id="0">
    <w:p w14:paraId="7E997D6B" w14:textId="77777777" w:rsidR="00A572D2" w:rsidRDefault="00A572D2" w:rsidP="003B000F">
      <w:pPr>
        <w:spacing w:line="240" w:lineRule="auto"/>
      </w:pPr>
      <w:r>
        <w:continuationSeparator/>
      </w:r>
    </w:p>
  </w:footnote>
  <w:footnote w:type="continuationNotice" w:id="1">
    <w:p w14:paraId="3F1FD041" w14:textId="77777777" w:rsidR="00A572D2" w:rsidRDefault="00A572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DEA" w14:textId="77777777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592B5953" wp14:editId="6F0EB9E3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6822751E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71C47F1"/>
    <w:multiLevelType w:val="hybridMultilevel"/>
    <w:tmpl w:val="38B03470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04824A0"/>
    <w:multiLevelType w:val="multilevel"/>
    <w:tmpl w:val="991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C5BC2"/>
    <w:multiLevelType w:val="hybridMultilevel"/>
    <w:tmpl w:val="B50283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5B10"/>
    <w:multiLevelType w:val="multilevel"/>
    <w:tmpl w:val="8E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3423A97"/>
    <w:multiLevelType w:val="hybridMultilevel"/>
    <w:tmpl w:val="D7928A6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B127239"/>
    <w:multiLevelType w:val="hybridMultilevel"/>
    <w:tmpl w:val="8B0823BC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45E77354"/>
    <w:multiLevelType w:val="multilevel"/>
    <w:tmpl w:val="80E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56257EF6"/>
    <w:multiLevelType w:val="hybridMultilevel"/>
    <w:tmpl w:val="E68066F2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DA00B5F"/>
    <w:multiLevelType w:val="hybridMultilevel"/>
    <w:tmpl w:val="F98C2C6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3" w15:restartNumberingAfterBreak="0">
    <w:nsid w:val="608A4F73"/>
    <w:multiLevelType w:val="hybridMultilevel"/>
    <w:tmpl w:val="BC9E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8" w15:restartNumberingAfterBreak="0">
    <w:nsid w:val="6AB6293D"/>
    <w:multiLevelType w:val="hybridMultilevel"/>
    <w:tmpl w:val="C30E8CE8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94848758">
    <w:abstractNumId w:val="0"/>
  </w:num>
  <w:num w:numId="2" w16cid:durableId="906719544">
    <w:abstractNumId w:val="11"/>
  </w:num>
  <w:num w:numId="3" w16cid:durableId="1925449462">
    <w:abstractNumId w:val="24"/>
  </w:num>
  <w:num w:numId="4" w16cid:durableId="701246284">
    <w:abstractNumId w:val="21"/>
  </w:num>
  <w:num w:numId="5" w16cid:durableId="855924017">
    <w:abstractNumId w:val="17"/>
  </w:num>
  <w:num w:numId="6" w16cid:durableId="551113460">
    <w:abstractNumId w:val="14"/>
  </w:num>
  <w:num w:numId="7" w16cid:durableId="2057044786">
    <w:abstractNumId w:val="13"/>
  </w:num>
  <w:num w:numId="8" w16cid:durableId="1787963634">
    <w:abstractNumId w:val="26"/>
  </w:num>
  <w:num w:numId="9" w16cid:durableId="1472209947">
    <w:abstractNumId w:val="10"/>
  </w:num>
  <w:num w:numId="10" w16cid:durableId="2003771847">
    <w:abstractNumId w:val="1"/>
  </w:num>
  <w:num w:numId="11" w16cid:durableId="299574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820978">
    <w:abstractNumId w:val="6"/>
  </w:num>
  <w:num w:numId="13" w16cid:durableId="991636262">
    <w:abstractNumId w:val="27"/>
  </w:num>
  <w:num w:numId="14" w16cid:durableId="1308851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44927">
    <w:abstractNumId w:val="4"/>
  </w:num>
  <w:num w:numId="16" w16cid:durableId="1863470897">
    <w:abstractNumId w:val="19"/>
  </w:num>
  <w:num w:numId="17" w16cid:durableId="1542742731">
    <w:abstractNumId w:val="16"/>
  </w:num>
  <w:num w:numId="18" w16cid:durableId="247006791">
    <w:abstractNumId w:val="25"/>
  </w:num>
  <w:num w:numId="19" w16cid:durableId="861362263">
    <w:abstractNumId w:val="20"/>
  </w:num>
  <w:num w:numId="20" w16cid:durableId="2095785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2933">
    <w:abstractNumId w:val="12"/>
  </w:num>
  <w:num w:numId="22" w16cid:durableId="1111166776">
    <w:abstractNumId w:val="28"/>
  </w:num>
  <w:num w:numId="23" w16cid:durableId="2069570785">
    <w:abstractNumId w:val="7"/>
  </w:num>
  <w:num w:numId="24" w16cid:durableId="357395606">
    <w:abstractNumId w:val="9"/>
  </w:num>
  <w:num w:numId="25" w16cid:durableId="241645077">
    <w:abstractNumId w:val="18"/>
  </w:num>
  <w:num w:numId="26" w16cid:durableId="486868219">
    <w:abstractNumId w:val="5"/>
  </w:num>
  <w:num w:numId="27" w16cid:durableId="1970746159">
    <w:abstractNumId w:val="22"/>
  </w:num>
  <w:num w:numId="28" w16cid:durableId="1067412723">
    <w:abstractNumId w:val="3"/>
  </w:num>
  <w:num w:numId="29" w16cid:durableId="60643816">
    <w:abstractNumId w:val="15"/>
  </w:num>
  <w:num w:numId="30" w16cid:durableId="15839059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2"/>
    <w:rsid w:val="00004D7A"/>
    <w:rsid w:val="00016D5F"/>
    <w:rsid w:val="00022892"/>
    <w:rsid w:val="00027D72"/>
    <w:rsid w:val="00027EC0"/>
    <w:rsid w:val="00035BA6"/>
    <w:rsid w:val="00051BB8"/>
    <w:rsid w:val="00057A7C"/>
    <w:rsid w:val="000614E6"/>
    <w:rsid w:val="00062F5A"/>
    <w:rsid w:val="00067364"/>
    <w:rsid w:val="0006793F"/>
    <w:rsid w:val="00072451"/>
    <w:rsid w:val="0007403E"/>
    <w:rsid w:val="000925A6"/>
    <w:rsid w:val="00092D4F"/>
    <w:rsid w:val="000A023B"/>
    <w:rsid w:val="000A23D0"/>
    <w:rsid w:val="000B0D9C"/>
    <w:rsid w:val="000B163B"/>
    <w:rsid w:val="000B358C"/>
    <w:rsid w:val="000B4ED6"/>
    <w:rsid w:val="000C05BB"/>
    <w:rsid w:val="000C150E"/>
    <w:rsid w:val="000C4001"/>
    <w:rsid w:val="000C5A10"/>
    <w:rsid w:val="000C7677"/>
    <w:rsid w:val="000D02C6"/>
    <w:rsid w:val="000D576E"/>
    <w:rsid w:val="000E0880"/>
    <w:rsid w:val="000E59FB"/>
    <w:rsid w:val="000F0E5D"/>
    <w:rsid w:val="000F406C"/>
    <w:rsid w:val="00105566"/>
    <w:rsid w:val="00115EDD"/>
    <w:rsid w:val="001223F4"/>
    <w:rsid w:val="00123582"/>
    <w:rsid w:val="00131109"/>
    <w:rsid w:val="00134771"/>
    <w:rsid w:val="00142428"/>
    <w:rsid w:val="001427AD"/>
    <w:rsid w:val="00142E96"/>
    <w:rsid w:val="00151143"/>
    <w:rsid w:val="00153630"/>
    <w:rsid w:val="00157C1C"/>
    <w:rsid w:val="00162245"/>
    <w:rsid w:val="001658F3"/>
    <w:rsid w:val="00170C17"/>
    <w:rsid w:val="00176E40"/>
    <w:rsid w:val="00176FE0"/>
    <w:rsid w:val="00177E5D"/>
    <w:rsid w:val="00182C0C"/>
    <w:rsid w:val="00191C86"/>
    <w:rsid w:val="00197EDC"/>
    <w:rsid w:val="001B10D6"/>
    <w:rsid w:val="001B2BCA"/>
    <w:rsid w:val="001B4C7E"/>
    <w:rsid w:val="001C660E"/>
    <w:rsid w:val="001D2AC2"/>
    <w:rsid w:val="001D5D12"/>
    <w:rsid w:val="001E01AE"/>
    <w:rsid w:val="001E24FC"/>
    <w:rsid w:val="001E2572"/>
    <w:rsid w:val="001E5F04"/>
    <w:rsid w:val="001E6EDE"/>
    <w:rsid w:val="001F28D4"/>
    <w:rsid w:val="00213C65"/>
    <w:rsid w:val="00225936"/>
    <w:rsid w:val="002349A3"/>
    <w:rsid w:val="002451F9"/>
    <w:rsid w:val="00255E38"/>
    <w:rsid w:val="002570B7"/>
    <w:rsid w:val="00261798"/>
    <w:rsid w:val="0026189C"/>
    <w:rsid w:val="00270567"/>
    <w:rsid w:val="00280C0C"/>
    <w:rsid w:val="00280CE6"/>
    <w:rsid w:val="00281540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A13C1"/>
    <w:rsid w:val="002A7E0E"/>
    <w:rsid w:val="002B39E7"/>
    <w:rsid w:val="002C04AE"/>
    <w:rsid w:val="002C0AEA"/>
    <w:rsid w:val="002C29C2"/>
    <w:rsid w:val="002C3267"/>
    <w:rsid w:val="002C53BF"/>
    <w:rsid w:val="002F1EBA"/>
    <w:rsid w:val="002F6F39"/>
    <w:rsid w:val="00301D32"/>
    <w:rsid w:val="00301ECF"/>
    <w:rsid w:val="00306451"/>
    <w:rsid w:val="0031002C"/>
    <w:rsid w:val="003162B9"/>
    <w:rsid w:val="00326DC5"/>
    <w:rsid w:val="00334461"/>
    <w:rsid w:val="003344CC"/>
    <w:rsid w:val="00334E11"/>
    <w:rsid w:val="003409ED"/>
    <w:rsid w:val="00342004"/>
    <w:rsid w:val="00351BB2"/>
    <w:rsid w:val="00354038"/>
    <w:rsid w:val="00355D01"/>
    <w:rsid w:val="003608EB"/>
    <w:rsid w:val="0036204F"/>
    <w:rsid w:val="003702B2"/>
    <w:rsid w:val="00374911"/>
    <w:rsid w:val="00384DC7"/>
    <w:rsid w:val="00385E2D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40605B"/>
    <w:rsid w:val="004103A2"/>
    <w:rsid w:val="004127CF"/>
    <w:rsid w:val="00412AEB"/>
    <w:rsid w:val="0041442B"/>
    <w:rsid w:val="0041514A"/>
    <w:rsid w:val="00424F7B"/>
    <w:rsid w:val="00432E7A"/>
    <w:rsid w:val="004471DD"/>
    <w:rsid w:val="00450E5D"/>
    <w:rsid w:val="00450FC0"/>
    <w:rsid w:val="0045511C"/>
    <w:rsid w:val="00460896"/>
    <w:rsid w:val="0046093B"/>
    <w:rsid w:val="00462781"/>
    <w:rsid w:val="0046596B"/>
    <w:rsid w:val="00465BE9"/>
    <w:rsid w:val="00467380"/>
    <w:rsid w:val="00467EE9"/>
    <w:rsid w:val="004708EC"/>
    <w:rsid w:val="004772BE"/>
    <w:rsid w:val="00481E29"/>
    <w:rsid w:val="00485C57"/>
    <w:rsid w:val="00491AEA"/>
    <w:rsid w:val="004926BC"/>
    <w:rsid w:val="00495DED"/>
    <w:rsid w:val="004A26EC"/>
    <w:rsid w:val="004A3A85"/>
    <w:rsid w:val="004C0358"/>
    <w:rsid w:val="004C5843"/>
    <w:rsid w:val="004C740D"/>
    <w:rsid w:val="004D461E"/>
    <w:rsid w:val="004D56C2"/>
    <w:rsid w:val="004E48F8"/>
    <w:rsid w:val="004F2B71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23086"/>
    <w:rsid w:val="00525DFE"/>
    <w:rsid w:val="00540D41"/>
    <w:rsid w:val="00544590"/>
    <w:rsid w:val="00546665"/>
    <w:rsid w:val="005475C5"/>
    <w:rsid w:val="00556F8B"/>
    <w:rsid w:val="00561554"/>
    <w:rsid w:val="00562B68"/>
    <w:rsid w:val="0056358F"/>
    <w:rsid w:val="00564B22"/>
    <w:rsid w:val="005653B9"/>
    <w:rsid w:val="00566F45"/>
    <w:rsid w:val="00570A40"/>
    <w:rsid w:val="00573829"/>
    <w:rsid w:val="0057739D"/>
    <w:rsid w:val="00583972"/>
    <w:rsid w:val="00585ACD"/>
    <w:rsid w:val="00597767"/>
    <w:rsid w:val="00597966"/>
    <w:rsid w:val="005A0A3E"/>
    <w:rsid w:val="005A297C"/>
    <w:rsid w:val="005A570D"/>
    <w:rsid w:val="005B36A1"/>
    <w:rsid w:val="005D1DC6"/>
    <w:rsid w:val="005D779D"/>
    <w:rsid w:val="005E22B1"/>
    <w:rsid w:val="005F0B45"/>
    <w:rsid w:val="005F36A5"/>
    <w:rsid w:val="005F7567"/>
    <w:rsid w:val="00634CA8"/>
    <w:rsid w:val="00650559"/>
    <w:rsid w:val="006568BD"/>
    <w:rsid w:val="006574E5"/>
    <w:rsid w:val="006655B4"/>
    <w:rsid w:val="00674F37"/>
    <w:rsid w:val="00680CE8"/>
    <w:rsid w:val="00681E68"/>
    <w:rsid w:val="00694191"/>
    <w:rsid w:val="006A13C1"/>
    <w:rsid w:val="006A655C"/>
    <w:rsid w:val="006B0F3F"/>
    <w:rsid w:val="006B4C95"/>
    <w:rsid w:val="006B6660"/>
    <w:rsid w:val="006C655D"/>
    <w:rsid w:val="006D0657"/>
    <w:rsid w:val="006D5A98"/>
    <w:rsid w:val="006D7720"/>
    <w:rsid w:val="006E5D62"/>
    <w:rsid w:val="006F1149"/>
    <w:rsid w:val="00711E82"/>
    <w:rsid w:val="007173EC"/>
    <w:rsid w:val="007213D3"/>
    <w:rsid w:val="0072279D"/>
    <w:rsid w:val="00723062"/>
    <w:rsid w:val="00723E5D"/>
    <w:rsid w:val="00725D89"/>
    <w:rsid w:val="00730E39"/>
    <w:rsid w:val="00732AEB"/>
    <w:rsid w:val="00734A4B"/>
    <w:rsid w:val="007438E9"/>
    <w:rsid w:val="007562EA"/>
    <w:rsid w:val="00770B53"/>
    <w:rsid w:val="00773952"/>
    <w:rsid w:val="00777A83"/>
    <w:rsid w:val="00783F7A"/>
    <w:rsid w:val="007B5F36"/>
    <w:rsid w:val="007B724A"/>
    <w:rsid w:val="007C1BFC"/>
    <w:rsid w:val="007F1021"/>
    <w:rsid w:val="007F65D8"/>
    <w:rsid w:val="007F6DAD"/>
    <w:rsid w:val="008108D3"/>
    <w:rsid w:val="00812C7E"/>
    <w:rsid w:val="00817ACA"/>
    <w:rsid w:val="00820F81"/>
    <w:rsid w:val="00825B69"/>
    <w:rsid w:val="0083207C"/>
    <w:rsid w:val="00845197"/>
    <w:rsid w:val="00857541"/>
    <w:rsid w:val="008628A1"/>
    <w:rsid w:val="00871443"/>
    <w:rsid w:val="00874153"/>
    <w:rsid w:val="008806D9"/>
    <w:rsid w:val="008813B2"/>
    <w:rsid w:val="00887458"/>
    <w:rsid w:val="008921DA"/>
    <w:rsid w:val="008969FD"/>
    <w:rsid w:val="008A4CBC"/>
    <w:rsid w:val="008A508F"/>
    <w:rsid w:val="008A66DC"/>
    <w:rsid w:val="008B0C50"/>
    <w:rsid w:val="008B2BE9"/>
    <w:rsid w:val="008B63DF"/>
    <w:rsid w:val="008C088B"/>
    <w:rsid w:val="008C31A0"/>
    <w:rsid w:val="008C4062"/>
    <w:rsid w:val="008C625E"/>
    <w:rsid w:val="008C668C"/>
    <w:rsid w:val="008D3819"/>
    <w:rsid w:val="008D3A2F"/>
    <w:rsid w:val="008D582B"/>
    <w:rsid w:val="008D63B1"/>
    <w:rsid w:val="008E50E3"/>
    <w:rsid w:val="008E639A"/>
    <w:rsid w:val="008F01AF"/>
    <w:rsid w:val="008F653B"/>
    <w:rsid w:val="009114EF"/>
    <w:rsid w:val="009127FC"/>
    <w:rsid w:val="009269ED"/>
    <w:rsid w:val="00932A75"/>
    <w:rsid w:val="009347C6"/>
    <w:rsid w:val="00943560"/>
    <w:rsid w:val="00953444"/>
    <w:rsid w:val="00961A18"/>
    <w:rsid w:val="0097247F"/>
    <w:rsid w:val="009728B2"/>
    <w:rsid w:val="00987B27"/>
    <w:rsid w:val="00990FE8"/>
    <w:rsid w:val="00992A21"/>
    <w:rsid w:val="00992BE0"/>
    <w:rsid w:val="009948CE"/>
    <w:rsid w:val="009A72CE"/>
    <w:rsid w:val="009B00B2"/>
    <w:rsid w:val="009B4F5F"/>
    <w:rsid w:val="009D7C52"/>
    <w:rsid w:val="009E1733"/>
    <w:rsid w:val="009F0294"/>
    <w:rsid w:val="009F6D67"/>
    <w:rsid w:val="00A01BE1"/>
    <w:rsid w:val="00A031BE"/>
    <w:rsid w:val="00A033A0"/>
    <w:rsid w:val="00A15776"/>
    <w:rsid w:val="00A24293"/>
    <w:rsid w:val="00A25016"/>
    <w:rsid w:val="00A31763"/>
    <w:rsid w:val="00A3406B"/>
    <w:rsid w:val="00A3777B"/>
    <w:rsid w:val="00A43190"/>
    <w:rsid w:val="00A550D4"/>
    <w:rsid w:val="00A572D2"/>
    <w:rsid w:val="00A57FDE"/>
    <w:rsid w:val="00A6457B"/>
    <w:rsid w:val="00A7063C"/>
    <w:rsid w:val="00A92DF4"/>
    <w:rsid w:val="00A95EA3"/>
    <w:rsid w:val="00AB2096"/>
    <w:rsid w:val="00AC1AE3"/>
    <w:rsid w:val="00AC2641"/>
    <w:rsid w:val="00AC6DA0"/>
    <w:rsid w:val="00AD6C13"/>
    <w:rsid w:val="00AE1862"/>
    <w:rsid w:val="00AE2C10"/>
    <w:rsid w:val="00AE344E"/>
    <w:rsid w:val="00AE7315"/>
    <w:rsid w:val="00AF0BE4"/>
    <w:rsid w:val="00AF11AC"/>
    <w:rsid w:val="00AF7FA7"/>
    <w:rsid w:val="00B03F90"/>
    <w:rsid w:val="00B06285"/>
    <w:rsid w:val="00B0735A"/>
    <w:rsid w:val="00B1721C"/>
    <w:rsid w:val="00B21A8C"/>
    <w:rsid w:val="00B276CA"/>
    <w:rsid w:val="00B32969"/>
    <w:rsid w:val="00B32CAB"/>
    <w:rsid w:val="00B407F3"/>
    <w:rsid w:val="00B45E37"/>
    <w:rsid w:val="00B462B5"/>
    <w:rsid w:val="00B500B5"/>
    <w:rsid w:val="00B52275"/>
    <w:rsid w:val="00B5570E"/>
    <w:rsid w:val="00B65A0D"/>
    <w:rsid w:val="00B721EC"/>
    <w:rsid w:val="00B857F7"/>
    <w:rsid w:val="00B8591D"/>
    <w:rsid w:val="00B952F4"/>
    <w:rsid w:val="00BA6011"/>
    <w:rsid w:val="00BB019B"/>
    <w:rsid w:val="00BB10B8"/>
    <w:rsid w:val="00BB37DB"/>
    <w:rsid w:val="00BB4797"/>
    <w:rsid w:val="00BC3642"/>
    <w:rsid w:val="00BC43C5"/>
    <w:rsid w:val="00BC55DF"/>
    <w:rsid w:val="00BC6530"/>
    <w:rsid w:val="00BC6766"/>
    <w:rsid w:val="00BD032B"/>
    <w:rsid w:val="00BD08B0"/>
    <w:rsid w:val="00BD6A73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10373"/>
    <w:rsid w:val="00C108C0"/>
    <w:rsid w:val="00C10E02"/>
    <w:rsid w:val="00C12088"/>
    <w:rsid w:val="00C13231"/>
    <w:rsid w:val="00C176BD"/>
    <w:rsid w:val="00C43A37"/>
    <w:rsid w:val="00C54F39"/>
    <w:rsid w:val="00C56E63"/>
    <w:rsid w:val="00C86450"/>
    <w:rsid w:val="00C92D87"/>
    <w:rsid w:val="00C935F1"/>
    <w:rsid w:val="00CA214D"/>
    <w:rsid w:val="00CC0367"/>
    <w:rsid w:val="00CC3B31"/>
    <w:rsid w:val="00CC5E3E"/>
    <w:rsid w:val="00CC7591"/>
    <w:rsid w:val="00CD03D8"/>
    <w:rsid w:val="00CD0C33"/>
    <w:rsid w:val="00CD5D52"/>
    <w:rsid w:val="00CE0116"/>
    <w:rsid w:val="00CE0CA6"/>
    <w:rsid w:val="00CE2528"/>
    <w:rsid w:val="00CE2D43"/>
    <w:rsid w:val="00CE326D"/>
    <w:rsid w:val="00CE5C6D"/>
    <w:rsid w:val="00CE61E2"/>
    <w:rsid w:val="00CE70FB"/>
    <w:rsid w:val="00CE7546"/>
    <w:rsid w:val="00CF1D05"/>
    <w:rsid w:val="00CF457F"/>
    <w:rsid w:val="00CF78D5"/>
    <w:rsid w:val="00D00B6B"/>
    <w:rsid w:val="00D02EB7"/>
    <w:rsid w:val="00D11719"/>
    <w:rsid w:val="00D11FFE"/>
    <w:rsid w:val="00D15326"/>
    <w:rsid w:val="00D22238"/>
    <w:rsid w:val="00D25162"/>
    <w:rsid w:val="00D30031"/>
    <w:rsid w:val="00D44021"/>
    <w:rsid w:val="00D670F7"/>
    <w:rsid w:val="00D707E6"/>
    <w:rsid w:val="00D808A5"/>
    <w:rsid w:val="00D80CD8"/>
    <w:rsid w:val="00D87B14"/>
    <w:rsid w:val="00D90286"/>
    <w:rsid w:val="00D95B27"/>
    <w:rsid w:val="00D95C79"/>
    <w:rsid w:val="00D96931"/>
    <w:rsid w:val="00D96EB9"/>
    <w:rsid w:val="00DA0CB8"/>
    <w:rsid w:val="00DA1732"/>
    <w:rsid w:val="00DA2741"/>
    <w:rsid w:val="00DA2E63"/>
    <w:rsid w:val="00DA630C"/>
    <w:rsid w:val="00DA7FB1"/>
    <w:rsid w:val="00DE54DA"/>
    <w:rsid w:val="00DF18A7"/>
    <w:rsid w:val="00DF1A29"/>
    <w:rsid w:val="00DF4F75"/>
    <w:rsid w:val="00DF5508"/>
    <w:rsid w:val="00E02116"/>
    <w:rsid w:val="00E05FAE"/>
    <w:rsid w:val="00E07DD3"/>
    <w:rsid w:val="00E13E5A"/>
    <w:rsid w:val="00E2060D"/>
    <w:rsid w:val="00E23FF2"/>
    <w:rsid w:val="00E2430E"/>
    <w:rsid w:val="00E64827"/>
    <w:rsid w:val="00E65D98"/>
    <w:rsid w:val="00E7252D"/>
    <w:rsid w:val="00E769DA"/>
    <w:rsid w:val="00E80529"/>
    <w:rsid w:val="00E907BC"/>
    <w:rsid w:val="00E9248E"/>
    <w:rsid w:val="00E949A8"/>
    <w:rsid w:val="00EA33FC"/>
    <w:rsid w:val="00EA58F9"/>
    <w:rsid w:val="00EA7F24"/>
    <w:rsid w:val="00EB7C0C"/>
    <w:rsid w:val="00EC185B"/>
    <w:rsid w:val="00EC239E"/>
    <w:rsid w:val="00EC2AAE"/>
    <w:rsid w:val="00EC39F1"/>
    <w:rsid w:val="00EC6F63"/>
    <w:rsid w:val="00ED1FE5"/>
    <w:rsid w:val="00ED59DF"/>
    <w:rsid w:val="00ED7110"/>
    <w:rsid w:val="00EE1D2B"/>
    <w:rsid w:val="00EE475F"/>
    <w:rsid w:val="00EF1CBE"/>
    <w:rsid w:val="00EF1F4E"/>
    <w:rsid w:val="00EF2D42"/>
    <w:rsid w:val="00F050A1"/>
    <w:rsid w:val="00F14B6F"/>
    <w:rsid w:val="00F20371"/>
    <w:rsid w:val="00F23A80"/>
    <w:rsid w:val="00F273AB"/>
    <w:rsid w:val="00F311D8"/>
    <w:rsid w:val="00F32AC1"/>
    <w:rsid w:val="00F37D19"/>
    <w:rsid w:val="00F440C7"/>
    <w:rsid w:val="00F50ADD"/>
    <w:rsid w:val="00F63035"/>
    <w:rsid w:val="00F65BEA"/>
    <w:rsid w:val="00F669D3"/>
    <w:rsid w:val="00F72FC2"/>
    <w:rsid w:val="00F81961"/>
    <w:rsid w:val="00F81AF4"/>
    <w:rsid w:val="00F821A6"/>
    <w:rsid w:val="00F867EB"/>
    <w:rsid w:val="00F90EBD"/>
    <w:rsid w:val="00F928B7"/>
    <w:rsid w:val="00F94A87"/>
    <w:rsid w:val="00F9553F"/>
    <w:rsid w:val="00F96B1A"/>
    <w:rsid w:val="00FA55D1"/>
    <w:rsid w:val="00FB30C6"/>
    <w:rsid w:val="00FC182D"/>
    <w:rsid w:val="00FC3BA8"/>
    <w:rsid w:val="00FC41BE"/>
    <w:rsid w:val="00FD6286"/>
    <w:rsid w:val="00FE5280"/>
    <w:rsid w:val="00FE73E2"/>
    <w:rsid w:val="00FF081A"/>
    <w:rsid w:val="00FF23EE"/>
    <w:rsid w:val="00FF3365"/>
    <w:rsid w:val="00FF5458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BD6E"/>
  <w15:docId w15:val="{51B1B7E5-FA5A-4087-9220-E32EE61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2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72D2"/>
    <w:rPr>
      <w:rFonts w:ascii="Arial" w:hAnsi="Arial" w:cs="Arial"/>
      <w:spacing w:val="-1"/>
      <w:sz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a.aau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ke\OneDrive%20-%20Aalborg%20Universitet\Documents\Brugerdefinerede%20Office-skabeloner\MIL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27D2-1060-47D1-A112-54B0BB34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 skabelon</Template>
  <TotalTime>1247</TotalTime>
  <Pages>4</Pages>
  <Words>941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Bjarke Madsbøll</dc:creator>
  <cp:keywords/>
  <dc:description/>
  <cp:lastModifiedBy>Bjarke Madsbøll</cp:lastModifiedBy>
  <cp:revision>3</cp:revision>
  <cp:lastPrinted>2019-05-28T13:46:00Z</cp:lastPrinted>
  <dcterms:created xsi:type="dcterms:W3CDTF">2022-12-12T12:54:00Z</dcterms:created>
  <dcterms:modified xsi:type="dcterms:W3CDTF">2022-12-14T09:56:00Z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