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751F" w14:textId="282A4F95" w:rsidR="00A572D2" w:rsidRPr="00485C57" w:rsidRDefault="00A572D2" w:rsidP="00A572D2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B266E" wp14:editId="3CEE0C20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1F5" w14:textId="77777777" w:rsidR="00A572D2" w:rsidRDefault="00A572D2" w:rsidP="00A572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B266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694491F5" w14:textId="77777777" w:rsidR="00A572D2" w:rsidRDefault="00A572D2" w:rsidP="00A572D2"/>
                  </w:txbxContent>
                </v:textbox>
              </v:shape>
            </w:pict>
          </mc:Fallback>
        </mc:AlternateContent>
      </w:r>
      <w:r w:rsidR="00FE2616">
        <w:rPr>
          <w:rFonts w:hAnsi="Arial" w:cs="Arial"/>
          <w:noProof/>
          <w:sz w:val="24"/>
          <w:lang w:eastAsia="da-DK"/>
        </w:rPr>
        <w:t>Referat</w:t>
      </w:r>
      <w:r>
        <w:rPr>
          <w:rFonts w:hAnsi="Arial" w:cs="Arial"/>
          <w:noProof/>
          <w:sz w:val="24"/>
          <w:lang w:eastAsia="da-DK"/>
        </w:rPr>
        <w:t xml:space="preserve"> </w:t>
      </w:r>
      <w:r w:rsidR="00FE2616">
        <w:rPr>
          <w:rFonts w:hAnsi="Arial" w:cs="Arial"/>
          <w:noProof/>
          <w:sz w:val="24"/>
          <w:lang w:eastAsia="da-DK"/>
        </w:rPr>
        <w:t>af</w:t>
      </w:r>
      <w:r>
        <w:rPr>
          <w:rFonts w:hAnsi="Arial" w:cs="Arial"/>
          <w:noProof/>
          <w:sz w:val="24"/>
          <w:lang w:eastAsia="da-DK"/>
        </w:rPr>
        <w:t xml:space="preserve"> </w:t>
      </w:r>
      <w:r>
        <w:rPr>
          <w:rFonts w:hAnsi="Arial" w:cs="Arial"/>
          <w:sz w:val="24"/>
        </w:rPr>
        <w:t>studienævnsmøde</w:t>
      </w:r>
      <w:r w:rsidRPr="00485C57">
        <w:rPr>
          <w:rFonts w:hAnsi="Arial" w:cs="Arial"/>
          <w:sz w:val="24"/>
        </w:rPr>
        <w:t xml:space="preserve"> – 0</w:t>
      </w:r>
      <w:r w:rsidR="00474EAF">
        <w:rPr>
          <w:rFonts w:hAnsi="Arial" w:cs="Arial"/>
          <w:sz w:val="24"/>
        </w:rPr>
        <w:t>2</w:t>
      </w:r>
      <w:r w:rsidRPr="00485C57">
        <w:rPr>
          <w:rFonts w:hAnsi="Arial" w:cs="Arial"/>
          <w:sz w:val="24"/>
        </w:rPr>
        <w:t>/20</w:t>
      </w:r>
      <w:r>
        <w:rPr>
          <w:rFonts w:hAnsi="Arial" w:cs="Arial"/>
          <w:sz w:val="24"/>
        </w:rPr>
        <w:t>2</w:t>
      </w:r>
      <w:r w:rsidR="00474EAF">
        <w:rPr>
          <w:rFonts w:hAnsi="Arial" w:cs="Arial"/>
          <w:sz w:val="24"/>
        </w:rPr>
        <w:t>3</w:t>
      </w:r>
    </w:p>
    <w:p w14:paraId="40F30BA4" w14:textId="24C8E83E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Mandag</w:t>
      </w:r>
      <w:r w:rsidRPr="00C176BD">
        <w:rPr>
          <w:rFonts w:hAnsi="Arial" w:cs="Arial"/>
          <w:sz w:val="24"/>
        </w:rPr>
        <w:t xml:space="preserve"> den </w:t>
      </w:r>
      <w:r>
        <w:rPr>
          <w:rFonts w:hAnsi="Arial" w:cs="Arial"/>
          <w:sz w:val="24"/>
        </w:rPr>
        <w:t>1</w:t>
      </w:r>
      <w:r w:rsidR="00474EAF">
        <w:rPr>
          <w:rFonts w:hAnsi="Arial" w:cs="Arial"/>
          <w:sz w:val="24"/>
        </w:rPr>
        <w:t>3</w:t>
      </w:r>
      <w:r w:rsidRPr="00C176BD">
        <w:rPr>
          <w:rFonts w:hAnsi="Arial" w:cs="Arial"/>
          <w:sz w:val="24"/>
        </w:rPr>
        <w:t xml:space="preserve">. </w:t>
      </w:r>
      <w:r w:rsidR="00474EAF">
        <w:rPr>
          <w:rFonts w:hAnsi="Arial" w:cs="Arial"/>
          <w:sz w:val="24"/>
        </w:rPr>
        <w:t>marts</w:t>
      </w:r>
      <w:r w:rsidRPr="00C176BD">
        <w:rPr>
          <w:rFonts w:hAnsi="Arial" w:cs="Arial"/>
          <w:sz w:val="24"/>
        </w:rPr>
        <w:t xml:space="preserve"> 202</w:t>
      </w:r>
      <w:r w:rsidR="00474EAF">
        <w:rPr>
          <w:rFonts w:hAnsi="Arial" w:cs="Arial"/>
          <w:sz w:val="24"/>
        </w:rPr>
        <w:t>3</w:t>
      </w:r>
      <w:r w:rsidRPr="00C176BD">
        <w:rPr>
          <w:rFonts w:hAnsi="Arial" w:cs="Arial"/>
          <w:sz w:val="24"/>
        </w:rPr>
        <w:t xml:space="preserve"> kl. 1</w:t>
      </w:r>
      <w:r>
        <w:rPr>
          <w:rFonts w:hAnsi="Arial" w:cs="Arial"/>
          <w:sz w:val="24"/>
        </w:rPr>
        <w:t>4</w:t>
      </w:r>
      <w:r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00</w:t>
      </w:r>
      <w:r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5.00</w:t>
      </w:r>
    </w:p>
    <w:p w14:paraId="47126333" w14:textId="703FA6B5" w:rsidR="00A572D2" w:rsidRDefault="00A572D2" w:rsidP="00A572D2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Placering: </w:t>
      </w:r>
      <w:r w:rsidR="00474EAF">
        <w:rPr>
          <w:rFonts w:hAnsi="Arial" w:cs="Arial"/>
          <w:sz w:val="24"/>
        </w:rPr>
        <w:t>MS Teams</w:t>
      </w:r>
    </w:p>
    <w:p w14:paraId="27748674" w14:textId="77777777" w:rsidR="00A572D2" w:rsidRPr="00B62045" w:rsidRDefault="00A572D2" w:rsidP="00A572D2">
      <w:pPr>
        <w:rPr>
          <w:rFonts w:hAnsi="Arial" w:cs="Arial"/>
          <w:sz w:val="28"/>
          <w:szCs w:val="24"/>
        </w:rPr>
      </w:pPr>
    </w:p>
    <w:p w14:paraId="3C56CB56" w14:textId="14845E6E" w:rsidR="00A572D2" w:rsidRPr="00B62045" w:rsidRDefault="00A572D2" w:rsidP="00A572D2">
      <w:pPr>
        <w:ind w:right="393"/>
        <w:rPr>
          <w:rFonts w:hAnsi="Arial" w:cs="Arial"/>
          <w:sz w:val="24"/>
          <w:szCs w:val="24"/>
        </w:rPr>
      </w:pPr>
      <w:r w:rsidRPr="296761AB">
        <w:rPr>
          <w:rFonts w:hAnsi="Arial" w:cs="Arial"/>
          <w:sz w:val="24"/>
          <w:szCs w:val="24"/>
          <w:u w:val="single"/>
        </w:rPr>
        <w:t>Medlemmer</w:t>
      </w:r>
      <w:r w:rsidRPr="296761AB">
        <w:rPr>
          <w:rFonts w:hAnsi="Arial" w:cs="Arial"/>
          <w:sz w:val="24"/>
          <w:szCs w:val="24"/>
        </w:rPr>
        <w:t xml:space="preserve">: Lone Dirckinck-Holmfeld (forkvinde), Sofie Weikop (næstforkvinde), Christian Dalsgaard, </w:t>
      </w:r>
      <w:r w:rsidR="7886C9CD" w:rsidRPr="296761AB">
        <w:rPr>
          <w:rFonts w:hAnsi="Arial" w:cs="Arial"/>
          <w:sz w:val="24"/>
          <w:szCs w:val="24"/>
        </w:rPr>
        <w:t xml:space="preserve">Lisbeth Frølunde, </w:t>
      </w:r>
      <w:r w:rsidRPr="296761AB">
        <w:rPr>
          <w:rFonts w:hAnsi="Arial" w:cs="Arial"/>
          <w:sz w:val="24"/>
          <w:szCs w:val="24"/>
        </w:rPr>
        <w:t xml:space="preserve">Thorkild Hanghøj, Anders Vejgaard, </w:t>
      </w:r>
      <w:r w:rsidR="006F37A1" w:rsidRPr="296761AB">
        <w:rPr>
          <w:rFonts w:hAnsi="Arial" w:cs="Arial"/>
          <w:sz w:val="24"/>
          <w:szCs w:val="24"/>
        </w:rPr>
        <w:t>Bjarke Madsbøll (referent)</w:t>
      </w:r>
    </w:p>
    <w:p w14:paraId="68C368BF" w14:textId="77777777" w:rsidR="00A572D2" w:rsidRDefault="00A572D2" w:rsidP="00A572D2">
      <w:pPr>
        <w:rPr>
          <w:rFonts w:hAnsi="Arial" w:cs="Arial"/>
          <w:sz w:val="24"/>
        </w:rPr>
      </w:pPr>
    </w:p>
    <w:p w14:paraId="2B9664AB" w14:textId="5BCDF0B7" w:rsidR="00A572D2" w:rsidRPr="00FD0969" w:rsidRDefault="00A572D2" w:rsidP="00A572D2">
      <w:pPr>
        <w:rPr>
          <w:rFonts w:hAnsi="Arial" w:cs="Arial"/>
          <w:sz w:val="24"/>
        </w:rPr>
      </w:pPr>
      <w:r w:rsidRPr="00FD0969">
        <w:rPr>
          <w:rFonts w:hAnsi="Arial" w:cs="Arial"/>
          <w:sz w:val="24"/>
        </w:rPr>
        <w:t>Observatører: Christian Hatting Voss</w:t>
      </w:r>
    </w:p>
    <w:p w14:paraId="43A0C292" w14:textId="77777777" w:rsidR="00A572D2" w:rsidRPr="00FD0969" w:rsidRDefault="00A572D2" w:rsidP="00A572D2">
      <w:pPr>
        <w:rPr>
          <w:rFonts w:hAnsi="Arial" w:cs="Arial"/>
          <w:sz w:val="24"/>
        </w:rPr>
      </w:pPr>
    </w:p>
    <w:p w14:paraId="09553BB3" w14:textId="35275A62" w:rsidR="00A572D2" w:rsidRDefault="00A37CFA" w:rsidP="296761AB">
      <w:pPr>
        <w:ind w:right="535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Fraværende</w:t>
      </w:r>
      <w:r w:rsidR="00A572D2" w:rsidRPr="296761AB">
        <w:rPr>
          <w:rFonts w:hAnsi="Arial" w:cs="Arial"/>
          <w:sz w:val="24"/>
          <w:szCs w:val="24"/>
        </w:rPr>
        <w:t xml:space="preserve">: </w:t>
      </w:r>
      <w:r w:rsidR="00081E43" w:rsidRPr="296761AB">
        <w:rPr>
          <w:rFonts w:hAnsi="Arial" w:cs="Arial"/>
          <w:sz w:val="24"/>
          <w:szCs w:val="24"/>
        </w:rPr>
        <w:t xml:space="preserve">Morten Misfeldt, </w:t>
      </w:r>
      <w:r w:rsidR="15665BCB" w:rsidRPr="296761AB">
        <w:rPr>
          <w:rFonts w:hAnsi="Arial" w:cs="Arial"/>
          <w:sz w:val="24"/>
          <w:szCs w:val="24"/>
        </w:rPr>
        <w:t xml:space="preserve">Lars Birch Andreasen, </w:t>
      </w:r>
      <w:r w:rsidR="006F37A1" w:rsidRPr="296761AB">
        <w:rPr>
          <w:rFonts w:hAnsi="Arial" w:cs="Arial"/>
          <w:sz w:val="24"/>
          <w:szCs w:val="24"/>
        </w:rPr>
        <w:t xml:space="preserve">Rasmus Paasch, </w:t>
      </w:r>
      <w:r w:rsidR="00081E43" w:rsidRPr="296761AB">
        <w:rPr>
          <w:rFonts w:hAnsi="Arial" w:cs="Arial"/>
          <w:sz w:val="24"/>
          <w:szCs w:val="24"/>
        </w:rPr>
        <w:t>Tina Kirsten Harlev Nielsen, Karin Jensen</w:t>
      </w:r>
      <w:r w:rsidR="00FD0969" w:rsidRPr="296761AB">
        <w:rPr>
          <w:rFonts w:hAnsi="Arial" w:cs="Arial"/>
          <w:sz w:val="24"/>
          <w:szCs w:val="24"/>
        </w:rPr>
        <w:t xml:space="preserve">; </w:t>
      </w:r>
      <w:r w:rsidR="49BC1B01" w:rsidRPr="296761AB">
        <w:rPr>
          <w:rFonts w:hAnsi="Arial" w:cs="Arial"/>
          <w:sz w:val="24"/>
          <w:szCs w:val="24"/>
        </w:rPr>
        <w:t xml:space="preserve">Katrine Grud Jakobsen, </w:t>
      </w:r>
      <w:r w:rsidRPr="296761AB">
        <w:rPr>
          <w:rFonts w:hAnsi="Arial" w:cs="Arial"/>
          <w:sz w:val="24"/>
          <w:szCs w:val="24"/>
        </w:rPr>
        <w:t xml:space="preserve">Brith Aagaard, </w:t>
      </w:r>
      <w:r w:rsidR="00FD0969" w:rsidRPr="296761AB">
        <w:rPr>
          <w:rFonts w:hAnsi="Arial" w:cs="Arial"/>
          <w:sz w:val="24"/>
          <w:szCs w:val="24"/>
        </w:rPr>
        <w:t>Michael Juul Nielsen</w:t>
      </w:r>
      <w:r w:rsidR="55D7B51D" w:rsidRPr="296761AB">
        <w:rPr>
          <w:rFonts w:hAnsi="Arial" w:cs="Arial"/>
          <w:sz w:val="24"/>
          <w:szCs w:val="24"/>
        </w:rPr>
        <w:t xml:space="preserve"> (suppleant)</w:t>
      </w:r>
    </w:p>
    <w:p w14:paraId="25E001A5" w14:textId="77777777" w:rsidR="00A572D2" w:rsidRDefault="00A572D2" w:rsidP="00A572D2">
      <w:pPr>
        <w:rPr>
          <w:rFonts w:hAnsi="Arial" w:cs="Arial"/>
          <w:sz w:val="24"/>
        </w:rPr>
      </w:pPr>
    </w:p>
    <w:p w14:paraId="1DABD296" w14:textId="77777777" w:rsidR="00A572D2" w:rsidRPr="00307393" w:rsidRDefault="00A572D2" w:rsidP="00A572D2">
      <w:pPr>
        <w:rPr>
          <w:rFonts w:hAnsi="Arial" w:cs="Arial"/>
          <w:sz w:val="24"/>
        </w:rPr>
      </w:pPr>
    </w:p>
    <w:p w14:paraId="63BA8E72" w14:textId="1B9C8306" w:rsidR="00A572D2" w:rsidRPr="00485C57" w:rsidRDefault="00FE2616" w:rsidP="00A572D2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6F78FF9" w14:textId="77777777" w:rsidR="00A572D2" w:rsidRPr="00485C57" w:rsidRDefault="00A572D2" w:rsidP="00A572D2">
      <w:pPr>
        <w:rPr>
          <w:rFonts w:hAnsi="Arial" w:cs="Arial"/>
        </w:rPr>
      </w:pPr>
    </w:p>
    <w:tbl>
      <w:tblPr>
        <w:tblStyle w:val="NormalTable0"/>
        <w:tblW w:w="10886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06"/>
        <w:gridCol w:w="8505"/>
        <w:gridCol w:w="283"/>
        <w:gridCol w:w="284"/>
        <w:gridCol w:w="283"/>
        <w:gridCol w:w="360"/>
      </w:tblGrid>
      <w:tr w:rsidR="00A572D2" w:rsidRPr="00485C57" w14:paraId="64E83148" w14:textId="77777777" w:rsidTr="00666A70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625AEDCA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606" w:type="dxa"/>
            <w:shd w:val="clear" w:color="auto" w:fill="365F91" w:themeFill="accent1" w:themeFillShade="BF"/>
          </w:tcPr>
          <w:p w14:paraId="55615046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3C07B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8505" w:type="dxa"/>
            <w:shd w:val="clear" w:color="auto" w:fill="365F91" w:themeFill="accent1" w:themeFillShade="BF"/>
          </w:tcPr>
          <w:p w14:paraId="11516ADE" w14:textId="77777777" w:rsidR="00A572D2" w:rsidRPr="00485C57" w:rsidRDefault="00A572D2" w:rsidP="00666A70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7B7D8D87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284" w:type="dxa"/>
            <w:shd w:val="clear" w:color="auto" w:fill="365F91" w:themeFill="accent1" w:themeFillShade="BF"/>
            <w:textDirection w:val="btLr"/>
          </w:tcPr>
          <w:p w14:paraId="1AAB6DCE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3DA031C2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btLr"/>
          </w:tcPr>
          <w:p w14:paraId="45A1A29D" w14:textId="77777777" w:rsidR="00A572D2" w:rsidRPr="00485C57" w:rsidRDefault="00A572D2" w:rsidP="00666A7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A572D2" w:rsidRPr="00485C57" w14:paraId="385B3EAA" w14:textId="77777777" w:rsidTr="00666A70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3AB7859A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D8D34BF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</w:p>
        </w:tc>
        <w:tc>
          <w:tcPr>
            <w:tcW w:w="8505" w:type="dxa"/>
            <w:shd w:val="clear" w:color="auto" w:fill="DBE4F0"/>
          </w:tcPr>
          <w:p w14:paraId="1D2D4806" w14:textId="77777777" w:rsidR="00A572D2" w:rsidRPr="00485C57" w:rsidRDefault="00A572D2" w:rsidP="00666A70">
            <w:pPr>
              <w:pStyle w:val="Overskrift2"/>
              <w:ind w:right="448"/>
            </w:pPr>
            <w:r w:rsidRPr="00485C57">
              <w:t>Godkendelse af dagsorden</w:t>
            </w:r>
          </w:p>
          <w:p w14:paraId="6D30D057" w14:textId="77777777" w:rsidR="00A572D2" w:rsidRDefault="00A572D2" w:rsidP="00666A70">
            <w:pPr>
              <w:pStyle w:val="Overskrift3"/>
              <w:ind w:right="448"/>
            </w:pPr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4B5825C" w14:textId="77777777" w:rsidR="00A572D2" w:rsidRPr="0097247F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4256B480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3576B5E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BBEB8F6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ECA779A" w14:textId="77777777" w:rsidR="00A572D2" w:rsidRPr="00485C57" w:rsidRDefault="00A572D2" w:rsidP="00666A70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A572D2" w:rsidRPr="00485C57" w14:paraId="63AFCCB9" w14:textId="77777777" w:rsidTr="00666A70">
        <w:trPr>
          <w:trHeight w:val="91"/>
        </w:trPr>
        <w:tc>
          <w:tcPr>
            <w:tcW w:w="565" w:type="dxa"/>
            <w:shd w:val="clear" w:color="auto" w:fill="365F91" w:themeFill="accent1" w:themeFillShade="BF"/>
          </w:tcPr>
          <w:p w14:paraId="1F7FD301" w14:textId="77777777" w:rsidR="00A572D2" w:rsidRPr="008D582B" w:rsidRDefault="00A572D2" w:rsidP="00666A70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5CE9FA3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62CEF49F" w14:textId="77777777" w:rsidR="00A572D2" w:rsidRPr="00485C57" w:rsidRDefault="00A572D2" w:rsidP="00666A7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388B71BF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8977B23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65BC3E2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49768A98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A572D2" w:rsidRPr="00462781" w14:paraId="4C7B01E3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A4DB770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283228C" w14:textId="2EE0741F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112B3">
              <w:rPr>
                <w:rFonts w:hAnsi="Arial" w:cs="Arial"/>
                <w:szCs w:val="18"/>
              </w:rPr>
              <w:t>2</w:t>
            </w:r>
            <w:r w:rsidR="0069508E">
              <w:rPr>
                <w:rFonts w:hAnsi="Arial" w:cs="Arial"/>
                <w:szCs w:val="18"/>
              </w:rPr>
              <w:t>5</w:t>
            </w:r>
          </w:p>
        </w:tc>
        <w:tc>
          <w:tcPr>
            <w:tcW w:w="8505" w:type="dxa"/>
            <w:shd w:val="clear" w:color="auto" w:fill="DBE4F0"/>
          </w:tcPr>
          <w:p w14:paraId="3BD12D0D" w14:textId="77777777" w:rsidR="00A572D2" w:rsidRDefault="00A572D2" w:rsidP="00666A70">
            <w:pPr>
              <w:pStyle w:val="Overskrift2"/>
            </w:pPr>
            <w:r>
              <w:t>Orienteringer fra forkvinden</w:t>
            </w:r>
          </w:p>
          <w:p w14:paraId="62BA1D8B" w14:textId="77777777" w:rsidR="00A572D2" w:rsidRDefault="00A572D2" w:rsidP="00666A70">
            <w:pPr>
              <w:pStyle w:val="Overskrift3"/>
            </w:pPr>
            <w:r>
              <w:t>v/ Lone Dirckinck-Holmfeld</w:t>
            </w:r>
          </w:p>
          <w:p w14:paraId="190C44D3" w14:textId="77777777" w:rsidR="00A572D2" w:rsidRDefault="00A572D2" w:rsidP="00666A70">
            <w:pPr>
              <w:pStyle w:val="Overskrift3"/>
            </w:pPr>
          </w:p>
          <w:p w14:paraId="298B92E1" w14:textId="24708E86" w:rsidR="0069508E" w:rsidRDefault="0069508E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Nye medlemmer af koordinationsgruppen og studienævnet: Morten Misfeldt (KU) og Lisbeth Frølunde (RUC)</w:t>
            </w:r>
          </w:p>
          <w:p w14:paraId="0D185FBB" w14:textId="5AC8FE8E" w:rsidR="0069508E" w:rsidRDefault="0069508E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Institut for Naturfagenes Didaktik (KU) er ny officiel partner på MIL</w:t>
            </w:r>
          </w:p>
          <w:p w14:paraId="6F9F6808" w14:textId="304A32CC" w:rsidR="00F65BEA" w:rsidRDefault="006F37A1" w:rsidP="00A572D2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Revideret budskabshierarki fra Creative Zoo</w:t>
            </w:r>
          </w:p>
          <w:p w14:paraId="73876214" w14:textId="188D201A" w:rsidR="00A572D2" w:rsidRPr="001112B3" w:rsidRDefault="006F37A1" w:rsidP="001112B3">
            <w:pPr>
              <w:pStyle w:val="Overskrift3"/>
              <w:numPr>
                <w:ilvl w:val="0"/>
                <w:numId w:val="30"/>
              </w:numPr>
              <w:ind w:left="823"/>
            </w:pPr>
            <w:r>
              <w:t>Administrativ omorganisering på EVU-området</w:t>
            </w:r>
            <w:r w:rsidR="005C6E96">
              <w:t xml:space="preserve"> pr. </w:t>
            </w:r>
            <w:r w:rsidR="0014527B">
              <w:t xml:space="preserve">1. januar </w:t>
            </w:r>
            <w:r w:rsidR="005C6E96">
              <w:t>2024</w:t>
            </w:r>
          </w:p>
          <w:p w14:paraId="121034BA" w14:textId="77777777" w:rsidR="005C6E96" w:rsidRDefault="005C6E96" w:rsidP="009D7C52">
            <w:pPr>
              <w:pStyle w:val="Overskrift3"/>
              <w:ind w:left="0" w:right="448"/>
              <w:rPr>
                <w:i/>
                <w:iCs/>
              </w:rPr>
            </w:pPr>
          </w:p>
          <w:p w14:paraId="0D9C15EF" w14:textId="77777777" w:rsidR="005C6E96" w:rsidRDefault="005C6E96" w:rsidP="005C6E96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>Bilag 2.1: MIL budskabshierarki</w:t>
            </w:r>
          </w:p>
          <w:p w14:paraId="5D3F6B72" w14:textId="67644AF2" w:rsidR="005C6E96" w:rsidRPr="00E800ED" w:rsidRDefault="005C6E96" w:rsidP="005C6E96">
            <w:pPr>
              <w:pStyle w:val="Overskrift3"/>
              <w:ind w:right="448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6509D79E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45A1B51F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67AE2F3D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2057343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62781" w14:paraId="7B43091E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6044E7D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0E43CFE7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559209D" w14:textId="203D1464" w:rsidR="00A572D2" w:rsidRPr="00D7631B" w:rsidRDefault="00D7631B" w:rsidP="00666A70">
            <w:pPr>
              <w:pStyle w:val="Overskrift2"/>
              <w:rPr>
                <w:sz w:val="18"/>
                <w:szCs w:val="18"/>
              </w:rPr>
            </w:pPr>
            <w:r w:rsidRPr="00D7631B">
              <w:rPr>
                <w:sz w:val="18"/>
                <w:szCs w:val="18"/>
              </w:rPr>
              <w:t>Ad 2</w:t>
            </w:r>
            <w:r w:rsidR="0014527B">
              <w:rPr>
                <w:sz w:val="18"/>
                <w:szCs w:val="18"/>
              </w:rPr>
              <w:t>.1</w:t>
            </w:r>
          </w:p>
          <w:p w14:paraId="4E7A54E0" w14:textId="65AFA423" w:rsidR="00D7631B" w:rsidRDefault="00D7631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LF er lektor i visuel kommunikation og design af læring – herunder brug af tegneserier</w:t>
            </w:r>
          </w:p>
          <w:p w14:paraId="0387E773" w14:textId="6A2E0EAA" w:rsidR="00FF4229" w:rsidRDefault="008E0BD3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Underviser inden for </w:t>
            </w:r>
            <w:r w:rsidR="00FF4229" w:rsidRPr="00FF4229">
              <w:rPr>
                <w:b w:val="0"/>
                <w:bCs w:val="0"/>
                <w:i/>
                <w:iCs/>
                <w:sz w:val="18"/>
                <w:szCs w:val="18"/>
              </w:rPr>
              <w:t>visuel, narrativ og dialogisk kommunikation og kunst-baseret forskning og forskningsformidling.</w:t>
            </w:r>
          </w:p>
          <w:p w14:paraId="3C855402" w14:textId="61F498BB" w:rsidR="00D7631B" w:rsidRDefault="00D7631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F942D20" w14:textId="01E5F307" w:rsidR="00D7631B" w:rsidRDefault="00D7631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Resten af udvalget præsenterer kort sig selv.</w:t>
            </w:r>
          </w:p>
          <w:p w14:paraId="6DA90345" w14:textId="07EF62F6" w:rsidR="0014527B" w:rsidRDefault="0014527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5B42959" w14:textId="50A39A72" w:rsidR="0014527B" w:rsidRDefault="0014527B" w:rsidP="00D7631B">
            <w:pPr>
              <w:pStyle w:val="Overskrift2"/>
              <w:rPr>
                <w:sz w:val="18"/>
                <w:szCs w:val="18"/>
              </w:rPr>
            </w:pPr>
            <w:r w:rsidRPr="0014527B">
              <w:rPr>
                <w:sz w:val="18"/>
                <w:szCs w:val="18"/>
              </w:rPr>
              <w:t>Ad 2.3</w:t>
            </w:r>
          </w:p>
          <w:p w14:paraId="2F68F57C" w14:textId="79154A9A" w:rsidR="0014527B" w:rsidRDefault="0014527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Budskabet er blevet godkendt af koordinationsgruppen til igangsættelse.</w:t>
            </w:r>
          </w:p>
          <w:p w14:paraId="40DBE8E3" w14:textId="4F821884" w:rsidR="0014527B" w:rsidRDefault="0014527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4CF367CE" w14:textId="02DBD0E3" w:rsidR="0014527B" w:rsidRPr="0014527B" w:rsidRDefault="0014527B" w:rsidP="00D7631B">
            <w:pPr>
              <w:pStyle w:val="Overskrift2"/>
              <w:rPr>
                <w:sz w:val="18"/>
                <w:szCs w:val="18"/>
              </w:rPr>
            </w:pPr>
            <w:r w:rsidRPr="0014527B">
              <w:rPr>
                <w:sz w:val="18"/>
                <w:szCs w:val="18"/>
              </w:rPr>
              <w:t>Ad 2.4</w:t>
            </w:r>
          </w:p>
          <w:p w14:paraId="45E938A8" w14:textId="31CA6EDF" w:rsidR="0014527B" w:rsidRDefault="0014527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Centralisering af EVU-administration og EVU-studienævn.</w:t>
            </w:r>
          </w:p>
          <w:p w14:paraId="25A8C70A" w14:textId="7DC6E89D" w:rsidR="0014527B" w:rsidRPr="0014527B" w:rsidRDefault="0014527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LDH er med i arbejdsgruppen.</w:t>
            </w:r>
          </w:p>
          <w:p w14:paraId="5A8B9720" w14:textId="4F9B2E6B" w:rsidR="00D7631B" w:rsidRPr="00CF0D1D" w:rsidRDefault="00D7631B" w:rsidP="00D7631B">
            <w:pPr>
              <w:pStyle w:val="Overskrift2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318808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5F3C79D7" w14:textId="77777777" w:rsidR="00A572D2" w:rsidRPr="00462781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2E1B0C44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5EB25A67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62FFC" w:rsidRPr="00485C57" w14:paraId="7A8CD685" w14:textId="77777777" w:rsidTr="002616C6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8C30AE1" w14:textId="77777777" w:rsidR="00A62FFC" w:rsidRPr="008D582B" w:rsidRDefault="00A62FFC" w:rsidP="00A62FFC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D853A2C" w14:textId="3725B698" w:rsidR="00A62FFC" w:rsidRPr="008D0E3C" w:rsidRDefault="00A62FFC" w:rsidP="002616C6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112B3">
              <w:rPr>
                <w:rFonts w:hAnsi="Arial" w:cs="Arial"/>
                <w:szCs w:val="18"/>
              </w:rPr>
              <w:t>2</w:t>
            </w:r>
            <w:r w:rsidR="0069508E"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 xml:space="preserve"> – </w:t>
            </w:r>
            <w:r w:rsidRPr="008D0E3C">
              <w:rPr>
                <w:rFonts w:hAnsi="Arial" w:cs="Arial"/>
                <w:szCs w:val="18"/>
              </w:rPr>
              <w:lastRenderedPageBreak/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 w:rsidR="001112B3">
              <w:rPr>
                <w:rFonts w:hAnsi="Arial" w:cs="Arial"/>
                <w:szCs w:val="18"/>
              </w:rPr>
              <w:t>55</w:t>
            </w:r>
          </w:p>
        </w:tc>
        <w:tc>
          <w:tcPr>
            <w:tcW w:w="8505" w:type="dxa"/>
            <w:shd w:val="clear" w:color="auto" w:fill="DBE4F0"/>
          </w:tcPr>
          <w:p w14:paraId="0B157B0F" w14:textId="77777777" w:rsidR="00A62FFC" w:rsidRPr="00A62FFC" w:rsidRDefault="00A62FFC" w:rsidP="002616C6">
            <w:pPr>
              <w:pStyle w:val="Overskrift2"/>
              <w:ind w:right="448"/>
            </w:pPr>
            <w:r w:rsidRPr="00A62FFC">
              <w:lastRenderedPageBreak/>
              <w:t>Drøftelse af EVU datapakke</w:t>
            </w:r>
          </w:p>
          <w:p w14:paraId="521EB674" w14:textId="77777777" w:rsidR="00A62FFC" w:rsidRPr="00A62FFC" w:rsidRDefault="00A62FFC" w:rsidP="002616C6">
            <w:pPr>
              <w:pStyle w:val="Overskrift3"/>
              <w:ind w:right="448"/>
            </w:pPr>
            <w:r w:rsidRPr="00A62FFC">
              <w:t>v/ Bjarke Madsbøll</w:t>
            </w:r>
          </w:p>
          <w:p w14:paraId="7F4A6F55" w14:textId="77777777" w:rsidR="00A62FFC" w:rsidRPr="00A62FFC" w:rsidRDefault="00A62FFC" w:rsidP="002616C6">
            <w:pPr>
              <w:pStyle w:val="Overskrift3"/>
              <w:ind w:right="448"/>
            </w:pPr>
          </w:p>
          <w:p w14:paraId="3FC6D2B0" w14:textId="1304D2FD" w:rsidR="00474EAF" w:rsidRDefault="00474EAF" w:rsidP="00474EAF">
            <w:pPr>
              <w:pStyle w:val="Overskrift3"/>
              <w:ind w:right="448"/>
            </w:pPr>
            <w:r>
              <w:t>Datapakken behandles på studienævnsmøde i december sammen med status på uddannelsens handlingsplan. Behandlingen af data for de enkelte indikatorer skal bl.a. tage afsæt i de fastsatte grænseværdier. Drøftelsen af data for de enkelte indikatorer samt overvejelser vedr. mulige tiltag, der kan iværksættes på baggrund af behandlingen, skal fremgå af referatet fra studienævnsmødet.</w:t>
            </w:r>
          </w:p>
          <w:p w14:paraId="3B1EFFD0" w14:textId="2F48A87A" w:rsidR="005C6E96" w:rsidRDefault="005C6E96" w:rsidP="00474EAF">
            <w:pPr>
              <w:pStyle w:val="Overskrift3"/>
              <w:ind w:right="448"/>
            </w:pPr>
          </w:p>
          <w:p w14:paraId="117428F7" w14:textId="01B40299" w:rsidR="005C6E96" w:rsidRDefault="005C6E96" w:rsidP="00474EAF">
            <w:pPr>
              <w:pStyle w:val="Overskrift3"/>
              <w:ind w:right="448"/>
            </w:pPr>
            <w:r>
              <w:t xml:space="preserve">I handlingsplanen </w:t>
            </w:r>
            <w:r w:rsidR="001112B3">
              <w:t>skal vi forholde os til delmålsopfølgningerne 2023 (markeret med rødt).</w:t>
            </w:r>
          </w:p>
          <w:p w14:paraId="498D77CA" w14:textId="77777777" w:rsidR="00474EAF" w:rsidRDefault="00474EAF" w:rsidP="00474EAF">
            <w:pPr>
              <w:pStyle w:val="Overskrift3"/>
              <w:ind w:right="448"/>
            </w:pPr>
          </w:p>
          <w:p w14:paraId="53394FA8" w14:textId="488B480C" w:rsidR="00474EAF" w:rsidRPr="00A62FFC" w:rsidRDefault="00474EAF" w:rsidP="00474EAF">
            <w:pPr>
              <w:pStyle w:val="Overskrift3"/>
              <w:ind w:right="448"/>
              <w:rPr>
                <w:i/>
                <w:iCs/>
              </w:rPr>
            </w:pPr>
            <w:r w:rsidRPr="00A62FFC">
              <w:rPr>
                <w:i/>
                <w:iCs/>
              </w:rPr>
              <w:t xml:space="preserve">Bilag </w:t>
            </w:r>
            <w:r w:rsidR="005C6E96">
              <w:rPr>
                <w:i/>
                <w:iCs/>
              </w:rPr>
              <w:t>3</w:t>
            </w:r>
            <w:r w:rsidRPr="00A62FFC">
              <w:rPr>
                <w:i/>
                <w:iCs/>
              </w:rPr>
              <w:t>.1: Datapakke EVU 2022</w:t>
            </w:r>
          </w:p>
          <w:p w14:paraId="09487B54" w14:textId="1B2FC77D" w:rsidR="00A62FFC" w:rsidRDefault="00474EAF" w:rsidP="00474EAF">
            <w:pPr>
              <w:pStyle w:val="Overskrift3"/>
              <w:ind w:right="448"/>
              <w:rPr>
                <w:i/>
                <w:iCs/>
              </w:rPr>
            </w:pPr>
            <w:r w:rsidRPr="00A62FFC">
              <w:rPr>
                <w:i/>
                <w:iCs/>
              </w:rPr>
              <w:t xml:space="preserve">Bilag </w:t>
            </w:r>
            <w:r w:rsidR="005C6E96">
              <w:rPr>
                <w:i/>
                <w:iCs/>
              </w:rPr>
              <w:t>3</w:t>
            </w:r>
            <w:r w:rsidRPr="00A62FFC">
              <w:rPr>
                <w:i/>
                <w:iCs/>
              </w:rPr>
              <w:t>.2: MIL handlingsplan</w:t>
            </w:r>
          </w:p>
          <w:p w14:paraId="2FE06FEC" w14:textId="04AD5953" w:rsidR="00474EAF" w:rsidRPr="00A62FFC" w:rsidRDefault="00474EAF" w:rsidP="00474EAF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283" w:type="dxa"/>
            <w:shd w:val="clear" w:color="auto" w:fill="DBE4F0"/>
          </w:tcPr>
          <w:p w14:paraId="503286AD" w14:textId="77777777" w:rsidR="00A62FFC" w:rsidRPr="00485C57" w:rsidRDefault="00A62FFC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3D6581CD" w14:textId="77777777" w:rsidR="00A62FFC" w:rsidRPr="00485C57" w:rsidRDefault="00A62FFC" w:rsidP="002616C6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7A315EF9" w14:textId="77777777" w:rsidR="00A62FFC" w:rsidRDefault="00A62FFC" w:rsidP="002616C6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53157DED" w14:textId="77777777" w:rsidR="00A62FFC" w:rsidRDefault="00A62FFC" w:rsidP="002616C6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A572D2" w:rsidRPr="00462781" w14:paraId="5C814668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47434C1" w14:textId="77777777" w:rsidR="00A572D2" w:rsidRPr="008D582B" w:rsidRDefault="00A572D2" w:rsidP="00666A7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9187DF8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FCCB6B8" w14:textId="1BEC4400" w:rsidR="00A572D2" w:rsidRPr="00030811" w:rsidRDefault="0014527B" w:rsidP="00666A70">
            <w:pPr>
              <w:pStyle w:val="Overskrift2"/>
              <w:ind w:right="141"/>
              <w:rPr>
                <w:sz w:val="18"/>
                <w:szCs w:val="18"/>
              </w:rPr>
            </w:pPr>
            <w:r w:rsidRPr="00030811">
              <w:rPr>
                <w:sz w:val="18"/>
                <w:szCs w:val="18"/>
              </w:rPr>
              <w:t>Ad 3</w:t>
            </w:r>
          </w:p>
          <w:p w14:paraId="69C6D1F9" w14:textId="64FE4BAD" w:rsidR="0014527B" w:rsidRP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030811">
              <w:rPr>
                <w:b w:val="0"/>
                <w:bCs w:val="0"/>
                <w:i/>
                <w:iCs/>
                <w:sz w:val="18"/>
                <w:szCs w:val="18"/>
              </w:rPr>
              <w:t xml:space="preserve">Udvalget gennemgår datapakken, men da MIL ligger inden for at acceptable rammer på alle parametre, afføder det ikke yderligere drøftelser. Under pkt. 2 bemærkes faldet i tilmeldinger til hele uddannelsen, men dette er ikke ny viden for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nævnet</w:t>
            </w:r>
            <w:r w:rsidRPr="00030811">
              <w:rPr>
                <w:b w:val="0"/>
                <w:bCs w:val="0"/>
                <w:i/>
                <w:iCs/>
                <w:sz w:val="18"/>
                <w:szCs w:val="18"/>
              </w:rPr>
              <w:t>, da denne udvikling og forventede grunde hertil tidligere er blevet drøftet.</w:t>
            </w:r>
          </w:p>
          <w:p w14:paraId="3705F6E3" w14:textId="7ADD2D51" w:rsidR="00030811" w:rsidRP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122067E0" w14:textId="000CBD1F" w:rsidR="00030811" w:rsidRP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030811">
              <w:rPr>
                <w:b w:val="0"/>
                <w:bCs w:val="0"/>
                <w:i/>
                <w:iCs/>
                <w:sz w:val="18"/>
                <w:szCs w:val="18"/>
              </w:rPr>
              <w:t>Udvalget vælger derfor primært at fokusere på handlingsplanen.</w:t>
            </w:r>
          </w:p>
          <w:p w14:paraId="03BFFC59" w14:textId="77408AA4" w:rsidR="00030811" w:rsidRP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213B8CD" w14:textId="21D53246" w:rsid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030811">
              <w:rPr>
                <w:b w:val="0"/>
                <w:bCs w:val="0"/>
                <w:i/>
                <w:iCs/>
                <w:sz w:val="18"/>
                <w:szCs w:val="18"/>
              </w:rPr>
              <w:t>BM præsen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terer nævnet for handlingsplanen, beskriver de eksisterende tiltag, og præsenterer de tilføjelser og tiltag (markeret med rødt), der er lavet i løbet af året og så er i proces fremadrettet.</w:t>
            </w:r>
          </w:p>
          <w:p w14:paraId="0AF669AB" w14:textId="2A408E7A" w:rsid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9A6B17F" w14:textId="38DE56E6" w:rsidR="00030811" w:rsidRPr="00030811" w:rsidRDefault="00030811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er enighed i udvalget om, at Mål 6 ikke er en prioritet, og at man som minimum bør sætte det i bero det næste år.</w:t>
            </w:r>
          </w:p>
          <w:p w14:paraId="35CEAF6F" w14:textId="20C8024A" w:rsidR="0014527B" w:rsidRPr="002376D2" w:rsidRDefault="0014527B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79E87A81" w14:textId="66EA0F5D" w:rsidR="002376D2" w:rsidRDefault="002376D2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Vedr. pkt. 3-4 i opfølgningen på delmål 1 blev det drøftet, om koordinationsgruppen burde prioritere at gennemføre fysiske netværksarrangementer, men det var hol</w:t>
            </w:r>
            <w:r w:rsidR="0009123E">
              <w:rPr>
                <w:b w:val="0"/>
                <w:bCs w:val="0"/>
                <w:i/>
                <w:iCs/>
                <w:sz w:val="18"/>
                <w:szCs w:val="18"/>
              </w:rPr>
              <w:t>dningen i nævnet, at man for nuværende skulle have et mere fokus på aktiviteter og indhold til eksempelvis MIL Open Academy og bruge det som salgspunkt.</w:t>
            </w:r>
          </w:p>
          <w:p w14:paraId="1ED5ADA7" w14:textId="77777777" w:rsidR="002376D2" w:rsidRDefault="002376D2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40C8290" w14:textId="111B3B50" w:rsidR="002376D2" w:rsidRPr="002376D2" w:rsidRDefault="002376D2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376D2">
              <w:rPr>
                <w:b w:val="0"/>
                <w:bCs w:val="0"/>
                <w:i/>
                <w:iCs/>
                <w:sz w:val="18"/>
                <w:szCs w:val="18"/>
              </w:rPr>
              <w:t>Vedr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ørende pkt. 7 i opfølgningen på delmål 1 tilføjes det, at studerende og medlemmer af </w:t>
            </w:r>
            <w:r w:rsidR="0009123E">
              <w:rPr>
                <w:b w:val="0"/>
                <w:bCs w:val="0"/>
                <w:i/>
                <w:iCs/>
                <w:sz w:val="18"/>
                <w:szCs w:val="18"/>
              </w:rPr>
              <w:t>studienævnet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også vil være en del af informationsmødet og præsentere uddannelsen.</w:t>
            </w:r>
            <w:r w:rsidRPr="002376D2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  <w:p w14:paraId="3AF6A396" w14:textId="3C5C5E31" w:rsidR="0014527B" w:rsidRDefault="0014527B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E965DDC" w14:textId="3E13F7C9" w:rsidR="0009123E" w:rsidRPr="002376D2" w:rsidRDefault="0009123E" w:rsidP="00666A7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Nævnet er ellers tilfreds med status på handlingsplanen og godkender denne og datapakken til behandling på kvalitetsstatusmøde.</w:t>
            </w:r>
          </w:p>
          <w:p w14:paraId="4BA5733A" w14:textId="552D03C6" w:rsidR="0014527B" w:rsidRPr="00422540" w:rsidRDefault="0014527B" w:rsidP="00666A70">
            <w:pPr>
              <w:pStyle w:val="Overskrift2"/>
              <w:ind w:right="141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254253A2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7C8F4657" w14:textId="77777777" w:rsidR="00A572D2" w:rsidRPr="00A711CB" w:rsidRDefault="00A572D2" w:rsidP="00666A7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1F8A654E" w14:textId="77777777" w:rsidR="00A572D2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1B5D11D1" w14:textId="77777777" w:rsidR="00A572D2" w:rsidRPr="00462781" w:rsidRDefault="00A572D2" w:rsidP="00666A7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A572D2" w:rsidRPr="00485C57" w14:paraId="030AC2DD" w14:textId="77777777" w:rsidTr="00666A7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2BDE1DE" w14:textId="77777777" w:rsidR="00A572D2" w:rsidRPr="008D582B" w:rsidRDefault="00A572D2" w:rsidP="00A572D2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98ECD54" w14:textId="77777777" w:rsidR="00A572D2" w:rsidRPr="008D0E3C" w:rsidRDefault="00A572D2" w:rsidP="00666A7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>
              <w:rPr>
                <w:rFonts w:hAnsi="Arial" w:cs="Arial"/>
                <w:szCs w:val="18"/>
              </w:rPr>
              <w:t>4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55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>
              <w:rPr>
                <w:rFonts w:hAnsi="Arial" w:cs="Arial"/>
                <w:szCs w:val="18"/>
              </w:rPr>
              <w:t>5</w:t>
            </w:r>
            <w:r w:rsidRPr="008D0E3C">
              <w:rPr>
                <w:rFonts w:hAnsi="Arial" w:cs="Arial"/>
                <w:szCs w:val="18"/>
              </w:rPr>
              <w:t>.</w:t>
            </w:r>
            <w:r>
              <w:rPr>
                <w:rFonts w:hAnsi="Arial" w:cs="Arial"/>
                <w:szCs w:val="18"/>
              </w:rPr>
              <w:t>0</w:t>
            </w:r>
            <w:r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3667D487" w14:textId="77777777" w:rsidR="00A572D2" w:rsidRDefault="00A572D2" w:rsidP="00666A70">
            <w:pPr>
              <w:pStyle w:val="Overskrift2"/>
              <w:ind w:right="448"/>
            </w:pPr>
            <w:r>
              <w:t>Eventuelt</w:t>
            </w:r>
          </w:p>
          <w:p w14:paraId="4850FDAF" w14:textId="77777777" w:rsidR="00A572D2" w:rsidRDefault="00A572D2" w:rsidP="00666A70">
            <w:pPr>
              <w:pStyle w:val="Overskrift3"/>
              <w:ind w:right="448"/>
            </w:pPr>
            <w:r>
              <w:t xml:space="preserve">v/ alle </w:t>
            </w:r>
          </w:p>
          <w:p w14:paraId="6620F6B7" w14:textId="77777777" w:rsidR="00A572D2" w:rsidRDefault="00A572D2" w:rsidP="00666A70">
            <w:pPr>
              <w:pStyle w:val="Overskrift3"/>
              <w:ind w:right="448"/>
            </w:pPr>
          </w:p>
          <w:p w14:paraId="19A5CA03" w14:textId="77777777" w:rsidR="00A572D2" w:rsidRDefault="00A572D2" w:rsidP="00666A7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08438E6A" w14:textId="77777777" w:rsidR="00A572D2" w:rsidRPr="00485C57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2BB2A43" w14:textId="77777777" w:rsidR="00A572D2" w:rsidRPr="00485C57" w:rsidRDefault="00A572D2" w:rsidP="00666A7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1511733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EF39E40" w14:textId="77777777" w:rsidR="00A572D2" w:rsidRDefault="00A572D2" w:rsidP="00666A70">
            <w:pPr>
              <w:jc w:val="center"/>
              <w:rPr>
                <w:rFonts w:hAnsi="Arial" w:cs="Arial"/>
              </w:rPr>
            </w:pPr>
          </w:p>
        </w:tc>
      </w:tr>
      <w:tr w:rsidR="00A572D2" w:rsidRPr="005E22B1" w14:paraId="4BB15EFF" w14:textId="77777777" w:rsidTr="00666A70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4EE24D72" w14:textId="77777777" w:rsidR="00A572D2" w:rsidRPr="008D582B" w:rsidRDefault="00A572D2" w:rsidP="00666A70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5AC1F69A" w14:textId="77777777" w:rsidR="00A572D2" w:rsidRPr="003C07BE" w:rsidRDefault="00A572D2" w:rsidP="00666A7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DBE4F0"/>
          </w:tcPr>
          <w:p w14:paraId="25E7448D" w14:textId="0ECCB4D1" w:rsidR="004106F0" w:rsidRDefault="004106F0" w:rsidP="00F705E7">
            <w:pPr>
              <w:pStyle w:val="Overskrift3"/>
              <w:numPr>
                <w:ilvl w:val="0"/>
                <w:numId w:val="33"/>
              </w:numPr>
              <w:ind w:right="448"/>
            </w:pPr>
            <w:r>
              <w:t>Der er stor forskel på Kernemoduler og valgmoduler ift. forventninger, underviseres forbindelse, m.m. selvom der er samme vægt (5 ECTS). Der fornemmes en større vægt af kernemoduler end valgmoduler.</w:t>
            </w:r>
            <w:r w:rsidR="00A73409">
              <w:br/>
              <w:t>Dette vil blive drøftet på et senere møde.</w:t>
            </w:r>
          </w:p>
          <w:p w14:paraId="175DA43B" w14:textId="77777777" w:rsidR="007A620D" w:rsidRDefault="007A620D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  <w:p w14:paraId="7F4BB1F2" w14:textId="77777777" w:rsidR="007A620D" w:rsidRDefault="007A620D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  <w:p w14:paraId="5E1E657C" w14:textId="7E723AEE" w:rsidR="007A620D" w:rsidRPr="005E22B1" w:rsidRDefault="007A620D" w:rsidP="00666A70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F282355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51E05330" w14:textId="77777777" w:rsidR="00A572D2" w:rsidRPr="005E22B1" w:rsidRDefault="00A572D2" w:rsidP="00666A70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25E43414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3EAE9C5D" w14:textId="77777777" w:rsidR="00A572D2" w:rsidRPr="005E22B1" w:rsidRDefault="00A572D2" w:rsidP="00666A70">
            <w:pPr>
              <w:rPr>
                <w:rFonts w:hAnsi="Arial" w:cs="Arial"/>
              </w:rPr>
            </w:pPr>
          </w:p>
        </w:tc>
      </w:tr>
    </w:tbl>
    <w:p w14:paraId="6E9633DA" w14:textId="77777777" w:rsidR="00A572D2" w:rsidRDefault="00A572D2" w:rsidP="00A572D2">
      <w:pPr>
        <w:pStyle w:val="Overskrift3"/>
      </w:pPr>
    </w:p>
    <w:p w14:paraId="13501C86" w14:textId="77777777" w:rsidR="00A572D2" w:rsidRPr="00485C57" w:rsidRDefault="00A572D2" w:rsidP="00A572D2">
      <w:pPr>
        <w:pStyle w:val="Overskrift3"/>
      </w:pPr>
    </w:p>
    <w:p w14:paraId="0362EA92" w14:textId="77777777" w:rsidR="00A572D2" w:rsidRDefault="00A572D2" w:rsidP="00A572D2">
      <w:pPr>
        <w:pStyle w:val="Overskrift3"/>
      </w:pPr>
      <w:r w:rsidRPr="00485C57">
        <w:t xml:space="preserve">Emner til </w:t>
      </w:r>
      <w:r>
        <w:t>fremtidige møder:</w:t>
      </w:r>
    </w:p>
    <w:p w14:paraId="04CD84C3" w14:textId="01D4A440" w:rsidR="00A572D2" w:rsidRDefault="001112B3" w:rsidP="006F37A1">
      <w:pPr>
        <w:pStyle w:val="Overskrift3"/>
        <w:numPr>
          <w:ilvl w:val="0"/>
          <w:numId w:val="31"/>
        </w:numPr>
      </w:pPr>
      <w:r>
        <w:t>Drøftelse af opstart af masterprojekt fremadrettet</w:t>
      </w:r>
    </w:p>
    <w:p w14:paraId="55ADDD14" w14:textId="343DA58C" w:rsidR="001112B3" w:rsidRPr="004106F0" w:rsidRDefault="001112B3" w:rsidP="001112B3">
      <w:pPr>
        <w:pStyle w:val="Overskrift3"/>
        <w:numPr>
          <w:ilvl w:val="1"/>
          <w:numId w:val="31"/>
        </w:numPr>
        <w:ind w:right="960"/>
      </w:pPr>
      <w:r w:rsidRPr="00474EAF">
        <w:rPr>
          <w:szCs w:val="18"/>
        </w:rPr>
        <w:t>Det har været kommentarer om, at det er problematisk, at vi allerede starter masterprojektforløb op på oktoberseminaret, da folk ikke er forberedte på det – særligt ikke enkeltmodulstuderende – da det reelt set er et forårsmodul, og for studerende på hele MIL er det for meget at starte tre forskellige forløb op på samme seminar.</w:t>
      </w:r>
    </w:p>
    <w:p w14:paraId="2A9945EF" w14:textId="77777777" w:rsidR="00F705E7" w:rsidRDefault="00F705E7" w:rsidP="004106F0">
      <w:pPr>
        <w:pStyle w:val="Overskrift3"/>
        <w:numPr>
          <w:ilvl w:val="0"/>
          <w:numId w:val="31"/>
        </w:numPr>
        <w:ind w:right="960"/>
      </w:pPr>
      <w:r>
        <w:t>Drøftelse af rammesætning af krav for valgmoduler.</w:t>
      </w:r>
    </w:p>
    <w:p w14:paraId="3C04BAE9" w14:textId="450E5758" w:rsidR="004106F0" w:rsidRDefault="004106F0" w:rsidP="00F705E7">
      <w:pPr>
        <w:pStyle w:val="Overskrift3"/>
        <w:numPr>
          <w:ilvl w:val="1"/>
          <w:numId w:val="31"/>
        </w:numPr>
        <w:ind w:right="960"/>
      </w:pPr>
      <w:r>
        <w:t>Der er stor forskel på Kernemoduler og valgmoduler ift. forventninger, underviseres forbindelse, m.m. selvom der er samme</w:t>
      </w:r>
      <w:r w:rsidR="00F705E7">
        <w:t xml:space="preserve"> </w:t>
      </w:r>
      <w:r>
        <w:t>vægt (5 ECTS). Der fornemmes en større vægt af kernemoduler end valgmoduler.</w:t>
      </w:r>
    </w:p>
    <w:p w14:paraId="5B6AD646" w14:textId="77777777" w:rsidR="00A572D2" w:rsidRPr="00A6457B" w:rsidRDefault="00A572D2" w:rsidP="00A572D2">
      <w:pPr>
        <w:pStyle w:val="Overskrift3"/>
      </w:pPr>
    </w:p>
    <w:p w14:paraId="23E8017F" w14:textId="77777777" w:rsidR="00FF081A" w:rsidRPr="00F273AB" w:rsidRDefault="00FF081A" w:rsidP="00F273AB"/>
    <w:sectPr w:rsidR="00FF081A" w:rsidRPr="00F273A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5EC3" w14:textId="77777777" w:rsidR="00A572D2" w:rsidRDefault="00A572D2" w:rsidP="003B000F">
      <w:pPr>
        <w:spacing w:line="240" w:lineRule="auto"/>
      </w:pPr>
      <w:r>
        <w:separator/>
      </w:r>
    </w:p>
  </w:endnote>
  <w:endnote w:type="continuationSeparator" w:id="0">
    <w:p w14:paraId="6F943EC8" w14:textId="77777777" w:rsidR="00A572D2" w:rsidRDefault="00A572D2" w:rsidP="003B000F">
      <w:pPr>
        <w:spacing w:line="240" w:lineRule="auto"/>
      </w:pPr>
      <w:r>
        <w:continuationSeparator/>
      </w:r>
    </w:p>
  </w:endnote>
  <w:endnote w:type="continuationNotice" w:id="1">
    <w:p w14:paraId="25C81D82" w14:textId="77777777" w:rsidR="00A572D2" w:rsidRDefault="00A572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EE4" w14:textId="77777777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22FE3985" wp14:editId="0DF16721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8B4E7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3277" w14:textId="77777777" w:rsidR="00A572D2" w:rsidRDefault="00A572D2" w:rsidP="003B000F">
      <w:pPr>
        <w:spacing w:line="240" w:lineRule="auto"/>
      </w:pPr>
      <w:r>
        <w:separator/>
      </w:r>
    </w:p>
  </w:footnote>
  <w:footnote w:type="continuationSeparator" w:id="0">
    <w:p w14:paraId="7E997D6B" w14:textId="77777777" w:rsidR="00A572D2" w:rsidRDefault="00A572D2" w:rsidP="003B000F">
      <w:pPr>
        <w:spacing w:line="240" w:lineRule="auto"/>
      </w:pPr>
      <w:r>
        <w:continuationSeparator/>
      </w:r>
    </w:p>
  </w:footnote>
  <w:footnote w:type="continuationNotice" w:id="1">
    <w:p w14:paraId="3F1FD041" w14:textId="77777777" w:rsidR="00A572D2" w:rsidRDefault="00A572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5DEA" w14:textId="77777777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58240" behindDoc="0" locked="0" layoutInCell="1" allowOverlap="1" wp14:anchorId="592B5953" wp14:editId="6F0EB9E3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B6C8A4E6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71C47F1"/>
    <w:multiLevelType w:val="hybridMultilevel"/>
    <w:tmpl w:val="38B03470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04824A0"/>
    <w:multiLevelType w:val="multilevel"/>
    <w:tmpl w:val="991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C5BC2"/>
    <w:multiLevelType w:val="hybridMultilevel"/>
    <w:tmpl w:val="B50283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5B10"/>
    <w:multiLevelType w:val="multilevel"/>
    <w:tmpl w:val="8E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3423A97"/>
    <w:multiLevelType w:val="hybridMultilevel"/>
    <w:tmpl w:val="D7928A6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B127239"/>
    <w:multiLevelType w:val="hybridMultilevel"/>
    <w:tmpl w:val="8B0823BC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45E77354"/>
    <w:multiLevelType w:val="multilevel"/>
    <w:tmpl w:val="80E0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56257EF6"/>
    <w:multiLevelType w:val="hybridMultilevel"/>
    <w:tmpl w:val="E68066F2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DA00B5F"/>
    <w:multiLevelType w:val="hybridMultilevel"/>
    <w:tmpl w:val="F98C2C6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3" w15:restartNumberingAfterBreak="0">
    <w:nsid w:val="608A4F73"/>
    <w:multiLevelType w:val="hybridMultilevel"/>
    <w:tmpl w:val="BC9E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F382C"/>
    <w:multiLevelType w:val="hybridMultilevel"/>
    <w:tmpl w:val="6CEC1D2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9" w15:restartNumberingAfterBreak="0">
    <w:nsid w:val="6AB6293D"/>
    <w:multiLevelType w:val="hybridMultilevel"/>
    <w:tmpl w:val="C30E8CE8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0" w15:restartNumberingAfterBreak="0">
    <w:nsid w:val="775E2276"/>
    <w:multiLevelType w:val="hybridMultilevel"/>
    <w:tmpl w:val="7578E55A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7DF03C2A"/>
    <w:multiLevelType w:val="hybridMultilevel"/>
    <w:tmpl w:val="88C685F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94848758">
    <w:abstractNumId w:val="0"/>
  </w:num>
  <w:num w:numId="2" w16cid:durableId="906719544">
    <w:abstractNumId w:val="11"/>
  </w:num>
  <w:num w:numId="3" w16cid:durableId="1925449462">
    <w:abstractNumId w:val="25"/>
  </w:num>
  <w:num w:numId="4" w16cid:durableId="701246284">
    <w:abstractNumId w:val="21"/>
  </w:num>
  <w:num w:numId="5" w16cid:durableId="855924017">
    <w:abstractNumId w:val="17"/>
  </w:num>
  <w:num w:numId="6" w16cid:durableId="551113460">
    <w:abstractNumId w:val="14"/>
  </w:num>
  <w:num w:numId="7" w16cid:durableId="2057044786">
    <w:abstractNumId w:val="13"/>
  </w:num>
  <w:num w:numId="8" w16cid:durableId="1787963634">
    <w:abstractNumId w:val="27"/>
  </w:num>
  <w:num w:numId="9" w16cid:durableId="1472209947">
    <w:abstractNumId w:val="10"/>
  </w:num>
  <w:num w:numId="10" w16cid:durableId="2003771847">
    <w:abstractNumId w:val="1"/>
  </w:num>
  <w:num w:numId="11" w16cid:durableId="299574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9820978">
    <w:abstractNumId w:val="6"/>
  </w:num>
  <w:num w:numId="13" w16cid:durableId="991636262">
    <w:abstractNumId w:val="28"/>
  </w:num>
  <w:num w:numId="14" w16cid:durableId="1308851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44927">
    <w:abstractNumId w:val="4"/>
  </w:num>
  <w:num w:numId="16" w16cid:durableId="1863470897">
    <w:abstractNumId w:val="19"/>
  </w:num>
  <w:num w:numId="17" w16cid:durableId="1542742731">
    <w:abstractNumId w:val="16"/>
  </w:num>
  <w:num w:numId="18" w16cid:durableId="247006791">
    <w:abstractNumId w:val="26"/>
  </w:num>
  <w:num w:numId="19" w16cid:durableId="861362263">
    <w:abstractNumId w:val="20"/>
  </w:num>
  <w:num w:numId="20" w16cid:durableId="2095785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812933">
    <w:abstractNumId w:val="12"/>
  </w:num>
  <w:num w:numId="22" w16cid:durableId="1111166776">
    <w:abstractNumId w:val="29"/>
  </w:num>
  <w:num w:numId="23" w16cid:durableId="2069570785">
    <w:abstractNumId w:val="7"/>
  </w:num>
  <w:num w:numId="24" w16cid:durableId="357395606">
    <w:abstractNumId w:val="9"/>
  </w:num>
  <w:num w:numId="25" w16cid:durableId="241645077">
    <w:abstractNumId w:val="18"/>
  </w:num>
  <w:num w:numId="26" w16cid:durableId="486868219">
    <w:abstractNumId w:val="5"/>
  </w:num>
  <w:num w:numId="27" w16cid:durableId="1970746159">
    <w:abstractNumId w:val="22"/>
  </w:num>
  <w:num w:numId="28" w16cid:durableId="1067412723">
    <w:abstractNumId w:val="3"/>
  </w:num>
  <w:num w:numId="29" w16cid:durableId="60643816">
    <w:abstractNumId w:val="15"/>
  </w:num>
  <w:num w:numId="30" w16cid:durableId="1583905911">
    <w:abstractNumId w:val="2"/>
  </w:num>
  <w:num w:numId="31" w16cid:durableId="564334605">
    <w:abstractNumId w:val="31"/>
  </w:num>
  <w:num w:numId="32" w16cid:durableId="1227687804">
    <w:abstractNumId w:val="24"/>
  </w:num>
  <w:num w:numId="33" w16cid:durableId="127887552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2"/>
    <w:rsid w:val="00004D7A"/>
    <w:rsid w:val="00016D5F"/>
    <w:rsid w:val="00022892"/>
    <w:rsid w:val="00027D72"/>
    <w:rsid w:val="00027EC0"/>
    <w:rsid w:val="00030811"/>
    <w:rsid w:val="00035BA6"/>
    <w:rsid w:val="00051BB8"/>
    <w:rsid w:val="00057A7C"/>
    <w:rsid w:val="000614E6"/>
    <w:rsid w:val="00062F5A"/>
    <w:rsid w:val="00067364"/>
    <w:rsid w:val="0006793F"/>
    <w:rsid w:val="00070111"/>
    <w:rsid w:val="00072451"/>
    <w:rsid w:val="0007403E"/>
    <w:rsid w:val="00081E43"/>
    <w:rsid w:val="0009123E"/>
    <w:rsid w:val="000925A6"/>
    <w:rsid w:val="00092D4F"/>
    <w:rsid w:val="000A023B"/>
    <w:rsid w:val="000B0D9C"/>
    <w:rsid w:val="000B163B"/>
    <w:rsid w:val="000B358C"/>
    <w:rsid w:val="000B4ED6"/>
    <w:rsid w:val="000C05BB"/>
    <w:rsid w:val="000C150E"/>
    <w:rsid w:val="000C4001"/>
    <w:rsid w:val="000C5A10"/>
    <w:rsid w:val="000C7677"/>
    <w:rsid w:val="000D02C6"/>
    <w:rsid w:val="000D576E"/>
    <w:rsid w:val="000E0880"/>
    <w:rsid w:val="000E59FB"/>
    <w:rsid w:val="000F0E5D"/>
    <w:rsid w:val="000F406C"/>
    <w:rsid w:val="00105566"/>
    <w:rsid w:val="001112B3"/>
    <w:rsid w:val="00115EDD"/>
    <w:rsid w:val="001223F4"/>
    <w:rsid w:val="00123582"/>
    <w:rsid w:val="00131109"/>
    <w:rsid w:val="00134771"/>
    <w:rsid w:val="00142428"/>
    <w:rsid w:val="001427AD"/>
    <w:rsid w:val="00142E96"/>
    <w:rsid w:val="0014527B"/>
    <w:rsid w:val="00151143"/>
    <w:rsid w:val="00153630"/>
    <w:rsid w:val="00157C1C"/>
    <w:rsid w:val="00162245"/>
    <w:rsid w:val="001658F3"/>
    <w:rsid w:val="00170C17"/>
    <w:rsid w:val="00176E40"/>
    <w:rsid w:val="00176FE0"/>
    <w:rsid w:val="00177E5D"/>
    <w:rsid w:val="00182C0C"/>
    <w:rsid w:val="00191C86"/>
    <w:rsid w:val="00197EDC"/>
    <w:rsid w:val="001B10D6"/>
    <w:rsid w:val="001B2BCA"/>
    <w:rsid w:val="001B4C7E"/>
    <w:rsid w:val="001C660E"/>
    <w:rsid w:val="001D2AC2"/>
    <w:rsid w:val="001D5D12"/>
    <w:rsid w:val="001E01AE"/>
    <w:rsid w:val="001E24FC"/>
    <w:rsid w:val="001E5F04"/>
    <w:rsid w:val="001E6EDE"/>
    <w:rsid w:val="001F28D4"/>
    <w:rsid w:val="00213C65"/>
    <w:rsid w:val="00225936"/>
    <w:rsid w:val="002349A3"/>
    <w:rsid w:val="002376D2"/>
    <w:rsid w:val="002451F9"/>
    <w:rsid w:val="00255E38"/>
    <w:rsid w:val="002570B7"/>
    <w:rsid w:val="00261798"/>
    <w:rsid w:val="0026189C"/>
    <w:rsid w:val="00270567"/>
    <w:rsid w:val="00280C0C"/>
    <w:rsid w:val="00280CE6"/>
    <w:rsid w:val="00281540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A13C1"/>
    <w:rsid w:val="002A7E0E"/>
    <w:rsid w:val="002B39E7"/>
    <w:rsid w:val="002C04AE"/>
    <w:rsid w:val="002C0AEA"/>
    <w:rsid w:val="002C29C2"/>
    <w:rsid w:val="002C3267"/>
    <w:rsid w:val="002C53BF"/>
    <w:rsid w:val="002F1EBA"/>
    <w:rsid w:val="002F6F39"/>
    <w:rsid w:val="00301D32"/>
    <w:rsid w:val="00301ECF"/>
    <w:rsid w:val="00306451"/>
    <w:rsid w:val="0031002C"/>
    <w:rsid w:val="003162B9"/>
    <w:rsid w:val="00326DC5"/>
    <w:rsid w:val="00334461"/>
    <w:rsid w:val="003344CC"/>
    <w:rsid w:val="00334E11"/>
    <w:rsid w:val="003409ED"/>
    <w:rsid w:val="00342004"/>
    <w:rsid w:val="00345789"/>
    <w:rsid w:val="00351BB2"/>
    <w:rsid w:val="00354038"/>
    <w:rsid w:val="00355D01"/>
    <w:rsid w:val="003608EB"/>
    <w:rsid w:val="0036204F"/>
    <w:rsid w:val="003702B2"/>
    <w:rsid w:val="00374911"/>
    <w:rsid w:val="00384DC7"/>
    <w:rsid w:val="00385E2D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40605B"/>
    <w:rsid w:val="004103A2"/>
    <w:rsid w:val="004106F0"/>
    <w:rsid w:val="004127CF"/>
    <w:rsid w:val="00412AEB"/>
    <w:rsid w:val="0041442B"/>
    <w:rsid w:val="0041514A"/>
    <w:rsid w:val="00424F7B"/>
    <w:rsid w:val="00432E7A"/>
    <w:rsid w:val="00436004"/>
    <w:rsid w:val="004471DD"/>
    <w:rsid w:val="00450E5D"/>
    <w:rsid w:val="00450FC0"/>
    <w:rsid w:val="0045511C"/>
    <w:rsid w:val="0046093B"/>
    <w:rsid w:val="00462781"/>
    <w:rsid w:val="00465BE9"/>
    <w:rsid w:val="00467380"/>
    <w:rsid w:val="00467EE9"/>
    <w:rsid w:val="004708EC"/>
    <w:rsid w:val="00474EAF"/>
    <w:rsid w:val="004772BE"/>
    <w:rsid w:val="00481E29"/>
    <w:rsid w:val="00485C57"/>
    <w:rsid w:val="00491AEA"/>
    <w:rsid w:val="004926BC"/>
    <w:rsid w:val="00495DED"/>
    <w:rsid w:val="004A26EC"/>
    <w:rsid w:val="004A3A85"/>
    <w:rsid w:val="004C0358"/>
    <w:rsid w:val="004C5843"/>
    <w:rsid w:val="004C740D"/>
    <w:rsid w:val="004D461E"/>
    <w:rsid w:val="004D56C2"/>
    <w:rsid w:val="004E48F8"/>
    <w:rsid w:val="004F2B71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23086"/>
    <w:rsid w:val="00525DFE"/>
    <w:rsid w:val="00540D41"/>
    <w:rsid w:val="00544590"/>
    <w:rsid w:val="00546665"/>
    <w:rsid w:val="005475C5"/>
    <w:rsid w:val="00556F8B"/>
    <w:rsid w:val="00561554"/>
    <w:rsid w:val="00562B68"/>
    <w:rsid w:val="0056358F"/>
    <w:rsid w:val="00564B22"/>
    <w:rsid w:val="005653B9"/>
    <w:rsid w:val="00566F45"/>
    <w:rsid w:val="00570A40"/>
    <w:rsid w:val="00573829"/>
    <w:rsid w:val="0057739D"/>
    <w:rsid w:val="00583972"/>
    <w:rsid w:val="00585ACD"/>
    <w:rsid w:val="005900DB"/>
    <w:rsid w:val="00597767"/>
    <w:rsid w:val="00597966"/>
    <w:rsid w:val="005A0A3E"/>
    <w:rsid w:val="005A297C"/>
    <w:rsid w:val="005A570D"/>
    <w:rsid w:val="005B36A1"/>
    <w:rsid w:val="005C6E96"/>
    <w:rsid w:val="005D1DC6"/>
    <w:rsid w:val="005D779D"/>
    <w:rsid w:val="005E22B1"/>
    <w:rsid w:val="005F0B45"/>
    <w:rsid w:val="005F36A5"/>
    <w:rsid w:val="005F7567"/>
    <w:rsid w:val="00634CA8"/>
    <w:rsid w:val="00650559"/>
    <w:rsid w:val="006568BD"/>
    <w:rsid w:val="006574E5"/>
    <w:rsid w:val="006655B4"/>
    <w:rsid w:val="00674F37"/>
    <w:rsid w:val="00680CE8"/>
    <w:rsid w:val="00681E68"/>
    <w:rsid w:val="00694191"/>
    <w:rsid w:val="0069508E"/>
    <w:rsid w:val="006A13C1"/>
    <w:rsid w:val="006A655C"/>
    <w:rsid w:val="006B0F3F"/>
    <w:rsid w:val="006B4C95"/>
    <w:rsid w:val="006B6660"/>
    <w:rsid w:val="006C655D"/>
    <w:rsid w:val="006D0657"/>
    <w:rsid w:val="006D5A98"/>
    <w:rsid w:val="006D7720"/>
    <w:rsid w:val="006E5D62"/>
    <w:rsid w:val="006F1149"/>
    <w:rsid w:val="006F37A1"/>
    <w:rsid w:val="00711E82"/>
    <w:rsid w:val="007173EC"/>
    <w:rsid w:val="007213D3"/>
    <w:rsid w:val="0072279D"/>
    <w:rsid w:val="00723E5D"/>
    <w:rsid w:val="00725D89"/>
    <w:rsid w:val="00730E39"/>
    <w:rsid w:val="00732AEB"/>
    <w:rsid w:val="00734A4B"/>
    <w:rsid w:val="007438E9"/>
    <w:rsid w:val="007562EA"/>
    <w:rsid w:val="00770B53"/>
    <w:rsid w:val="00773952"/>
    <w:rsid w:val="00777A83"/>
    <w:rsid w:val="00783F7A"/>
    <w:rsid w:val="007A620D"/>
    <w:rsid w:val="007B5F36"/>
    <w:rsid w:val="007B724A"/>
    <w:rsid w:val="007C1BFC"/>
    <w:rsid w:val="007F1021"/>
    <w:rsid w:val="007F65D8"/>
    <w:rsid w:val="007F6DAD"/>
    <w:rsid w:val="008108D3"/>
    <w:rsid w:val="00812C7E"/>
    <w:rsid w:val="00817ACA"/>
    <w:rsid w:val="00820F81"/>
    <w:rsid w:val="00825B69"/>
    <w:rsid w:val="0083207C"/>
    <w:rsid w:val="00845197"/>
    <w:rsid w:val="00857541"/>
    <w:rsid w:val="008628A1"/>
    <w:rsid w:val="00871443"/>
    <w:rsid w:val="00874153"/>
    <w:rsid w:val="008806D9"/>
    <w:rsid w:val="008813B2"/>
    <w:rsid w:val="00887458"/>
    <w:rsid w:val="008921DA"/>
    <w:rsid w:val="008969FD"/>
    <w:rsid w:val="008A4CBC"/>
    <w:rsid w:val="008A508F"/>
    <w:rsid w:val="008A66DC"/>
    <w:rsid w:val="008B0C50"/>
    <w:rsid w:val="008B2BE9"/>
    <w:rsid w:val="008B63DF"/>
    <w:rsid w:val="008C088B"/>
    <w:rsid w:val="008C31A0"/>
    <w:rsid w:val="008C4062"/>
    <w:rsid w:val="008C625E"/>
    <w:rsid w:val="008C668C"/>
    <w:rsid w:val="008D3819"/>
    <w:rsid w:val="008D3A2F"/>
    <w:rsid w:val="008D582B"/>
    <w:rsid w:val="008D63B1"/>
    <w:rsid w:val="008E0BD3"/>
    <w:rsid w:val="008E50E3"/>
    <w:rsid w:val="008E639A"/>
    <w:rsid w:val="008F01AF"/>
    <w:rsid w:val="008F653B"/>
    <w:rsid w:val="009114EF"/>
    <w:rsid w:val="009127FC"/>
    <w:rsid w:val="009269ED"/>
    <w:rsid w:val="00932A75"/>
    <w:rsid w:val="009347C6"/>
    <w:rsid w:val="00943560"/>
    <w:rsid w:val="00953444"/>
    <w:rsid w:val="00961A18"/>
    <w:rsid w:val="0097247F"/>
    <w:rsid w:val="009728B2"/>
    <w:rsid w:val="00987B27"/>
    <w:rsid w:val="00990FE8"/>
    <w:rsid w:val="00992A21"/>
    <w:rsid w:val="00992BE0"/>
    <w:rsid w:val="009948CE"/>
    <w:rsid w:val="009A72CE"/>
    <w:rsid w:val="009B00B2"/>
    <w:rsid w:val="009B4F5F"/>
    <w:rsid w:val="009D7C52"/>
    <w:rsid w:val="009E1733"/>
    <w:rsid w:val="009F0294"/>
    <w:rsid w:val="009F6D67"/>
    <w:rsid w:val="00A01BE1"/>
    <w:rsid w:val="00A031BE"/>
    <w:rsid w:val="00A033A0"/>
    <w:rsid w:val="00A24293"/>
    <w:rsid w:val="00A25016"/>
    <w:rsid w:val="00A31763"/>
    <w:rsid w:val="00A3406B"/>
    <w:rsid w:val="00A3777B"/>
    <w:rsid w:val="00A37CFA"/>
    <w:rsid w:val="00A43190"/>
    <w:rsid w:val="00A550D4"/>
    <w:rsid w:val="00A572D2"/>
    <w:rsid w:val="00A57FDE"/>
    <w:rsid w:val="00A62FFC"/>
    <w:rsid w:val="00A6457B"/>
    <w:rsid w:val="00A7063C"/>
    <w:rsid w:val="00A73409"/>
    <w:rsid w:val="00A92DF4"/>
    <w:rsid w:val="00A95EA3"/>
    <w:rsid w:val="00AB2096"/>
    <w:rsid w:val="00AC1AE3"/>
    <w:rsid w:val="00AC2641"/>
    <w:rsid w:val="00AC6DA0"/>
    <w:rsid w:val="00AD6C13"/>
    <w:rsid w:val="00AE1862"/>
    <w:rsid w:val="00AE2C10"/>
    <w:rsid w:val="00AE344E"/>
    <w:rsid w:val="00AE7315"/>
    <w:rsid w:val="00AF0BE4"/>
    <w:rsid w:val="00AF11AC"/>
    <w:rsid w:val="00AF7FA7"/>
    <w:rsid w:val="00B03F90"/>
    <w:rsid w:val="00B06285"/>
    <w:rsid w:val="00B0735A"/>
    <w:rsid w:val="00B1721C"/>
    <w:rsid w:val="00B21A8C"/>
    <w:rsid w:val="00B276CA"/>
    <w:rsid w:val="00B32969"/>
    <w:rsid w:val="00B32CAB"/>
    <w:rsid w:val="00B407F3"/>
    <w:rsid w:val="00B45E37"/>
    <w:rsid w:val="00B462B5"/>
    <w:rsid w:val="00B500B5"/>
    <w:rsid w:val="00B52275"/>
    <w:rsid w:val="00B5570E"/>
    <w:rsid w:val="00B65A0D"/>
    <w:rsid w:val="00B721EC"/>
    <w:rsid w:val="00B857F7"/>
    <w:rsid w:val="00B952F4"/>
    <w:rsid w:val="00BA6011"/>
    <w:rsid w:val="00BB019B"/>
    <w:rsid w:val="00BB10B8"/>
    <w:rsid w:val="00BB37DB"/>
    <w:rsid w:val="00BB4797"/>
    <w:rsid w:val="00BC3642"/>
    <w:rsid w:val="00BC43C5"/>
    <w:rsid w:val="00BC55DF"/>
    <w:rsid w:val="00BC6530"/>
    <w:rsid w:val="00BC6766"/>
    <w:rsid w:val="00BD032B"/>
    <w:rsid w:val="00BD08B0"/>
    <w:rsid w:val="00BD6A73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10373"/>
    <w:rsid w:val="00C108C0"/>
    <w:rsid w:val="00C10E02"/>
    <w:rsid w:val="00C12088"/>
    <w:rsid w:val="00C13231"/>
    <w:rsid w:val="00C176BD"/>
    <w:rsid w:val="00C43A37"/>
    <w:rsid w:val="00C54F39"/>
    <w:rsid w:val="00C56E63"/>
    <w:rsid w:val="00C86450"/>
    <w:rsid w:val="00C92D87"/>
    <w:rsid w:val="00C935F1"/>
    <w:rsid w:val="00CA214D"/>
    <w:rsid w:val="00CC0367"/>
    <w:rsid w:val="00CC5E3E"/>
    <w:rsid w:val="00CC7591"/>
    <w:rsid w:val="00CD03D8"/>
    <w:rsid w:val="00CD0C33"/>
    <w:rsid w:val="00CD5D52"/>
    <w:rsid w:val="00CE0116"/>
    <w:rsid w:val="00CE0CA6"/>
    <w:rsid w:val="00CE2528"/>
    <w:rsid w:val="00CE2D43"/>
    <w:rsid w:val="00CE326D"/>
    <w:rsid w:val="00CE5C6D"/>
    <w:rsid w:val="00CE61E2"/>
    <w:rsid w:val="00CE70FB"/>
    <w:rsid w:val="00CE7546"/>
    <w:rsid w:val="00CF1D05"/>
    <w:rsid w:val="00CF457F"/>
    <w:rsid w:val="00CF78D5"/>
    <w:rsid w:val="00D00B6B"/>
    <w:rsid w:val="00D02EB7"/>
    <w:rsid w:val="00D11719"/>
    <w:rsid w:val="00D11FFE"/>
    <w:rsid w:val="00D15326"/>
    <w:rsid w:val="00D22238"/>
    <w:rsid w:val="00D25162"/>
    <w:rsid w:val="00D30031"/>
    <w:rsid w:val="00D44021"/>
    <w:rsid w:val="00D670F7"/>
    <w:rsid w:val="00D707E6"/>
    <w:rsid w:val="00D7631B"/>
    <w:rsid w:val="00D808A5"/>
    <w:rsid w:val="00D80CD8"/>
    <w:rsid w:val="00D87B14"/>
    <w:rsid w:val="00D90286"/>
    <w:rsid w:val="00D95B27"/>
    <w:rsid w:val="00D95C79"/>
    <w:rsid w:val="00D96931"/>
    <w:rsid w:val="00D96EB9"/>
    <w:rsid w:val="00D976AB"/>
    <w:rsid w:val="00DA0CB8"/>
    <w:rsid w:val="00DA1732"/>
    <w:rsid w:val="00DA2741"/>
    <w:rsid w:val="00DA2E63"/>
    <w:rsid w:val="00DA630C"/>
    <w:rsid w:val="00DA7FB1"/>
    <w:rsid w:val="00DE54DA"/>
    <w:rsid w:val="00DF18A7"/>
    <w:rsid w:val="00DF1A29"/>
    <w:rsid w:val="00DF4F75"/>
    <w:rsid w:val="00DF5508"/>
    <w:rsid w:val="00E02116"/>
    <w:rsid w:val="00E05FAE"/>
    <w:rsid w:val="00E07DD3"/>
    <w:rsid w:val="00E11500"/>
    <w:rsid w:val="00E13E5A"/>
    <w:rsid w:val="00E2060D"/>
    <w:rsid w:val="00E23FF2"/>
    <w:rsid w:val="00E2430E"/>
    <w:rsid w:val="00E64827"/>
    <w:rsid w:val="00E7252D"/>
    <w:rsid w:val="00E769DA"/>
    <w:rsid w:val="00E80529"/>
    <w:rsid w:val="00E907BC"/>
    <w:rsid w:val="00E9248E"/>
    <w:rsid w:val="00E949A8"/>
    <w:rsid w:val="00EA33FC"/>
    <w:rsid w:val="00EA58F9"/>
    <w:rsid w:val="00EB7C0C"/>
    <w:rsid w:val="00EC185B"/>
    <w:rsid w:val="00EC239E"/>
    <w:rsid w:val="00EC2AAE"/>
    <w:rsid w:val="00EC39F1"/>
    <w:rsid w:val="00EC6F63"/>
    <w:rsid w:val="00ED1FE5"/>
    <w:rsid w:val="00ED59DF"/>
    <w:rsid w:val="00ED7110"/>
    <w:rsid w:val="00EE1D2B"/>
    <w:rsid w:val="00EE475F"/>
    <w:rsid w:val="00EF1CBE"/>
    <w:rsid w:val="00EF1F4E"/>
    <w:rsid w:val="00EF2D42"/>
    <w:rsid w:val="00F050A1"/>
    <w:rsid w:val="00F14B6F"/>
    <w:rsid w:val="00F20371"/>
    <w:rsid w:val="00F23A80"/>
    <w:rsid w:val="00F273AB"/>
    <w:rsid w:val="00F311D8"/>
    <w:rsid w:val="00F32AC1"/>
    <w:rsid w:val="00F37D19"/>
    <w:rsid w:val="00F440C7"/>
    <w:rsid w:val="00F50ADD"/>
    <w:rsid w:val="00F63035"/>
    <w:rsid w:val="00F65BEA"/>
    <w:rsid w:val="00F669D3"/>
    <w:rsid w:val="00F705E7"/>
    <w:rsid w:val="00F72FC2"/>
    <w:rsid w:val="00F81961"/>
    <w:rsid w:val="00F81AF4"/>
    <w:rsid w:val="00F821A6"/>
    <w:rsid w:val="00F867EB"/>
    <w:rsid w:val="00F90EBD"/>
    <w:rsid w:val="00F928B7"/>
    <w:rsid w:val="00F94A87"/>
    <w:rsid w:val="00F9553F"/>
    <w:rsid w:val="00F96B1A"/>
    <w:rsid w:val="00FA55D1"/>
    <w:rsid w:val="00FB30C6"/>
    <w:rsid w:val="00FC182D"/>
    <w:rsid w:val="00FC3BA8"/>
    <w:rsid w:val="00FC41BE"/>
    <w:rsid w:val="00FD0969"/>
    <w:rsid w:val="00FD6286"/>
    <w:rsid w:val="00FE2616"/>
    <w:rsid w:val="00FE5280"/>
    <w:rsid w:val="00FE73E2"/>
    <w:rsid w:val="00FF081A"/>
    <w:rsid w:val="00FF23EE"/>
    <w:rsid w:val="00FF3365"/>
    <w:rsid w:val="00FF4229"/>
    <w:rsid w:val="00FF5458"/>
    <w:rsid w:val="15665BCB"/>
    <w:rsid w:val="296761AB"/>
    <w:rsid w:val="31E8F6B3"/>
    <w:rsid w:val="3384C714"/>
    <w:rsid w:val="34647469"/>
    <w:rsid w:val="49BC1B01"/>
    <w:rsid w:val="5205CECD"/>
    <w:rsid w:val="55D7B51D"/>
    <w:rsid w:val="7886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BD6E"/>
  <w15:docId w15:val="{51B1B7E5-FA5A-4087-9220-E32EE61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2D2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72D2"/>
    <w:rPr>
      <w:rFonts w:ascii="Arial" w:hAnsi="Arial" w:cs="Arial"/>
      <w:spacing w:val="-1"/>
      <w:sz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ke\OneDrive%20-%20Aalborg%20Universitet\Documents\Brugerdefinerede%20Office-skabeloner\MIL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6" ma:contentTypeDescription="Opret et nyt dokument." ma:contentTypeScope="" ma:versionID="8973ddabf8ec687ae244b61ae1081ae2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235174d2efbf10d95c2c2f6c44592c2d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CA98-A52B-4483-AC7E-63E0024F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90234-1104-4E33-8E05-85564CE70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4A3A8-D807-43C8-92EC-CE12B9E6FD6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b9af098-3677-404b-9358-4171cfce8a51"/>
    <ds:schemaRef ds:uri="1e6ca8bb-f1fe-44f5-83ac-74a0d52939c9"/>
  </ds:schemaRefs>
</ds:datastoreItem>
</file>

<file path=customXml/itemProps4.xml><?xml version="1.0" encoding="utf-8"?>
<ds:datastoreItem xmlns:ds="http://schemas.openxmlformats.org/officeDocument/2006/customXml" ds:itemID="{384B27D2-1060-47D1-A112-54B0BB34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 skabelon</Template>
  <TotalTime>94</TotalTime>
  <Pages>3</Pages>
  <Words>612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Bjarke Madsbøll</dc:creator>
  <cp:keywords/>
  <dc:description/>
  <cp:lastModifiedBy>Bjarke Madsbøll</cp:lastModifiedBy>
  <cp:revision>5</cp:revision>
  <cp:lastPrinted>2019-05-28T13:46:00Z</cp:lastPrinted>
  <dcterms:created xsi:type="dcterms:W3CDTF">2023-03-13T13:12:00Z</dcterms:created>
  <dcterms:modified xsi:type="dcterms:W3CDTF">2023-03-20T11:15:00Z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