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64"/>
      </w:tblGrid>
      <w:tr w:rsidR="003A0A25" w:rsidRPr="00C45D31" w14:paraId="6CCB2C5C" w14:textId="77777777" w:rsidTr="00FD0B0C">
        <w:tc>
          <w:tcPr>
            <w:tcW w:w="4536" w:type="dxa"/>
            <w:shd w:val="clear" w:color="auto" w:fill="FFFFFF" w:themeFill="background1"/>
          </w:tcPr>
          <w:tbl>
            <w:tblPr>
              <w:tblStyle w:val="Tabel-Gitter"/>
              <w:tblW w:w="99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45D31" w14:paraId="4B74CB4A" w14:textId="77777777" w:rsidTr="00F52005">
              <w:trPr>
                <w:trHeight w:val="1725"/>
                <w:jc w:val="center"/>
              </w:trPr>
              <w:tc>
                <w:tcPr>
                  <w:tcW w:w="7149" w:type="dxa"/>
                </w:tcPr>
                <w:p w14:paraId="0266EB1B" w14:textId="77777777" w:rsidR="00F44001" w:rsidRPr="00F44001" w:rsidRDefault="00F44001" w:rsidP="00FD0B0C">
                  <w:pPr>
                    <w:tabs>
                      <w:tab w:val="left" w:pos="7230"/>
                    </w:tabs>
                    <w:rPr>
                      <w:rFonts w:cs="Arial"/>
                      <w:szCs w:val="20"/>
                    </w:rPr>
                  </w:pPr>
                </w:p>
              </w:tc>
              <w:tc>
                <w:tcPr>
                  <w:tcW w:w="2805" w:type="dxa"/>
                </w:tcPr>
                <w:p w14:paraId="1F33AF70" w14:textId="6E580C42" w:rsidR="006C7406" w:rsidRPr="006A089F" w:rsidRDefault="009661F8" w:rsidP="00027D3B">
                  <w:pPr>
                    <w:tabs>
                      <w:tab w:val="left" w:pos="7230"/>
                    </w:tabs>
                    <w:spacing w:line="276" w:lineRule="auto"/>
                    <w:rPr>
                      <w:rFonts w:cs="Arial"/>
                      <w:color w:val="211A52"/>
                      <w:sz w:val="16"/>
                      <w:szCs w:val="16"/>
                      <w:lang w:val="nb-NO"/>
                    </w:rPr>
                  </w:pPr>
                  <w:r w:rsidRPr="009661F8">
                    <w:rPr>
                      <w:rFonts w:cs="Arial"/>
                      <w:b/>
                      <w:color w:val="211A52"/>
                      <w:sz w:val="16"/>
                      <w:szCs w:val="16"/>
                      <w:lang w:val="nb-NO"/>
                    </w:rPr>
                    <w:t>Studienævnet for Kemi, Miljø og Bioteknologi</w:t>
                  </w:r>
                  <w:r w:rsidRPr="009661F8">
                    <w:rPr>
                      <w:rFonts w:cs="Arial"/>
                      <w:b/>
                      <w:color w:val="211A52"/>
                      <w:sz w:val="16"/>
                      <w:szCs w:val="16"/>
                      <w:lang w:val="nb-NO"/>
                    </w:rPr>
                    <w:br/>
                  </w:r>
                  <w:r w:rsidR="00F44001" w:rsidRPr="009661F8">
                    <w:rPr>
                      <w:rFonts w:cs="Arial"/>
                      <w:color w:val="211A52"/>
                      <w:sz w:val="16"/>
                      <w:szCs w:val="16"/>
                      <w:lang w:val="nb-NO"/>
                    </w:rPr>
                    <w:br/>
                  </w:r>
                  <w:r w:rsidR="005015A0">
                    <w:rPr>
                      <w:rFonts w:cs="Arial"/>
                      <w:color w:val="211A52"/>
                      <w:sz w:val="16"/>
                      <w:szCs w:val="16"/>
                      <w:lang w:val="nb-NO"/>
                    </w:rPr>
                    <w:t>Fredrik Bajersvej 7H</w:t>
                  </w:r>
                  <w:r w:rsidR="005015A0">
                    <w:rPr>
                      <w:rFonts w:cs="Arial"/>
                      <w:color w:val="211A52"/>
                      <w:sz w:val="16"/>
                      <w:szCs w:val="16"/>
                      <w:lang w:val="nb-NO"/>
                    </w:rPr>
                    <w:br/>
                    <w:t>9220</w:t>
                  </w:r>
                  <w:r>
                    <w:rPr>
                      <w:rFonts w:cs="Arial"/>
                      <w:color w:val="211A52"/>
                      <w:sz w:val="16"/>
                      <w:szCs w:val="16"/>
                      <w:lang w:val="nb-NO"/>
                    </w:rPr>
                    <w:t xml:space="preserve"> Aalborg</w:t>
                  </w:r>
                  <w:r w:rsidR="005015A0">
                    <w:rPr>
                      <w:rFonts w:cs="Arial"/>
                      <w:color w:val="211A52"/>
                      <w:sz w:val="16"/>
                      <w:szCs w:val="16"/>
                      <w:lang w:val="nb-NO"/>
                    </w:rPr>
                    <w:t xml:space="preserve"> </w:t>
                  </w:r>
                  <w:r>
                    <w:rPr>
                      <w:rFonts w:cs="Arial"/>
                      <w:color w:val="211A52"/>
                      <w:sz w:val="16"/>
                      <w:szCs w:val="16"/>
                      <w:lang w:val="nb-NO"/>
                    </w:rPr>
                    <w:br/>
                  </w:r>
                  <w:r w:rsidR="00220DE2" w:rsidRPr="00DE3111">
                    <w:rPr>
                      <w:rFonts w:cs="Arial"/>
                      <w:sz w:val="16"/>
                      <w:szCs w:val="16"/>
                    </w:rPr>
                    <w:t>www.bio.aau.dk</w:t>
                  </w:r>
                </w:p>
                <w:p w14:paraId="1CDE2652" w14:textId="77777777" w:rsidR="006C7406" w:rsidRPr="00DE3111" w:rsidRDefault="006C7406" w:rsidP="00027D3B">
                  <w:pPr>
                    <w:tabs>
                      <w:tab w:val="left" w:pos="7230"/>
                    </w:tabs>
                    <w:spacing w:line="276" w:lineRule="auto"/>
                    <w:rPr>
                      <w:rFonts w:cs="Arial"/>
                      <w:color w:val="211A52"/>
                      <w:sz w:val="16"/>
                      <w:szCs w:val="16"/>
                    </w:rPr>
                  </w:pPr>
                </w:p>
                <w:p w14:paraId="1170C7F9" w14:textId="77777777" w:rsidR="006C7406" w:rsidRPr="006C7406" w:rsidRDefault="006C7406" w:rsidP="006C7406">
                  <w:pPr>
                    <w:tabs>
                      <w:tab w:val="left" w:pos="7230"/>
                    </w:tabs>
                    <w:rPr>
                      <w:rFonts w:cs="Arial"/>
                      <w:color w:val="211A52"/>
                      <w:sz w:val="16"/>
                      <w:szCs w:val="16"/>
                      <w:lang w:val="nb-NO"/>
                    </w:rPr>
                  </w:pPr>
                  <w:r w:rsidRPr="006C7406">
                    <w:rPr>
                      <w:rFonts w:cs="Arial"/>
                      <w:color w:val="211A52"/>
                      <w:sz w:val="16"/>
                      <w:szCs w:val="16"/>
                      <w:lang w:val="nb-NO"/>
                    </w:rPr>
                    <w:t>Studienævnsformand</w:t>
                  </w:r>
                </w:p>
                <w:p w14:paraId="2EB44711" w14:textId="77777777" w:rsidR="006C7406" w:rsidRPr="006C7406" w:rsidRDefault="00AB0F9F" w:rsidP="006C7406">
                  <w:pPr>
                    <w:tabs>
                      <w:tab w:val="left" w:pos="7230"/>
                    </w:tabs>
                    <w:rPr>
                      <w:rFonts w:cs="Arial"/>
                      <w:color w:val="211A52"/>
                      <w:sz w:val="16"/>
                      <w:szCs w:val="16"/>
                      <w:lang w:val="nb-NO"/>
                    </w:rPr>
                  </w:pPr>
                  <w:r>
                    <w:rPr>
                      <w:rFonts w:cs="Arial"/>
                      <w:color w:val="211A52"/>
                      <w:sz w:val="16"/>
                      <w:szCs w:val="16"/>
                      <w:lang w:val="nb-NO"/>
                    </w:rPr>
                    <w:t>Lars Haastrup Pedersen</w:t>
                  </w:r>
                </w:p>
                <w:p w14:paraId="55172613" w14:textId="77777777" w:rsidR="006C7406" w:rsidRPr="006C7406" w:rsidRDefault="00AB0F9F" w:rsidP="006C7406">
                  <w:pPr>
                    <w:tabs>
                      <w:tab w:val="left" w:pos="7230"/>
                    </w:tabs>
                    <w:rPr>
                      <w:rFonts w:cs="Arial"/>
                      <w:color w:val="211A52"/>
                      <w:sz w:val="16"/>
                      <w:szCs w:val="16"/>
                      <w:lang w:val="nb-NO"/>
                    </w:rPr>
                  </w:pPr>
                  <w:r>
                    <w:rPr>
                      <w:rFonts w:cs="Arial"/>
                      <w:color w:val="211A52"/>
                      <w:sz w:val="16"/>
                      <w:szCs w:val="16"/>
                      <w:lang w:val="nb-NO"/>
                    </w:rPr>
                    <w:t>Tlf. 9940 8497</w:t>
                  </w:r>
                </w:p>
                <w:p w14:paraId="741C8B01" w14:textId="77777777" w:rsidR="006C7406" w:rsidRDefault="00686C80" w:rsidP="006C7406">
                  <w:pPr>
                    <w:tabs>
                      <w:tab w:val="left" w:pos="7230"/>
                    </w:tabs>
                    <w:spacing w:line="276" w:lineRule="auto"/>
                    <w:rPr>
                      <w:rFonts w:cs="Arial"/>
                      <w:color w:val="211A52"/>
                      <w:sz w:val="16"/>
                      <w:szCs w:val="16"/>
                      <w:lang w:val="nb-NO"/>
                    </w:rPr>
                  </w:pPr>
                  <w:hyperlink r:id="rId8" w:history="1">
                    <w:r w:rsidR="00F63309" w:rsidRPr="00CD6B1D">
                      <w:rPr>
                        <w:rStyle w:val="Hyperlink"/>
                        <w:rFonts w:cs="Arial"/>
                        <w:sz w:val="16"/>
                        <w:szCs w:val="16"/>
                        <w:lang w:val="nb-NO"/>
                      </w:rPr>
                      <w:t>lhp@bio.aau.dk</w:t>
                    </w:r>
                  </w:hyperlink>
                </w:p>
                <w:p w14:paraId="060D98FB" w14:textId="77777777" w:rsidR="006C7406" w:rsidRDefault="006C7406" w:rsidP="00027D3B">
                  <w:pPr>
                    <w:tabs>
                      <w:tab w:val="left" w:pos="7230"/>
                    </w:tabs>
                    <w:spacing w:line="276" w:lineRule="auto"/>
                    <w:rPr>
                      <w:rFonts w:cs="Arial"/>
                      <w:color w:val="211A52"/>
                      <w:sz w:val="16"/>
                      <w:szCs w:val="16"/>
                      <w:lang w:val="nb-NO"/>
                    </w:rPr>
                  </w:pPr>
                </w:p>
                <w:p w14:paraId="52B29326" w14:textId="3A048284" w:rsidR="006C7406" w:rsidRDefault="006C7406" w:rsidP="00027D3B">
                  <w:pPr>
                    <w:tabs>
                      <w:tab w:val="left" w:pos="7230"/>
                    </w:tabs>
                    <w:spacing w:line="276" w:lineRule="auto"/>
                    <w:rPr>
                      <w:rFonts w:cs="Arial"/>
                      <w:color w:val="211A52"/>
                      <w:sz w:val="16"/>
                      <w:szCs w:val="16"/>
                      <w:lang w:val="nb-NO"/>
                    </w:rPr>
                  </w:pPr>
                  <w:r>
                    <w:rPr>
                      <w:rFonts w:cs="Arial"/>
                      <w:color w:val="211A52"/>
                      <w:sz w:val="16"/>
                      <w:szCs w:val="16"/>
                      <w:lang w:val="nb-NO"/>
                    </w:rPr>
                    <w:t xml:space="preserve">Sekretær </w:t>
                  </w:r>
                  <w:r w:rsidR="006A089F">
                    <w:rPr>
                      <w:rFonts w:cs="Arial"/>
                      <w:color w:val="211A52"/>
                      <w:sz w:val="16"/>
                      <w:szCs w:val="16"/>
                      <w:lang w:val="nb-NO"/>
                    </w:rPr>
                    <w:t>Louise Kiilerich Pratas</w:t>
                  </w:r>
                </w:p>
                <w:p w14:paraId="27C3FAF6" w14:textId="4AACA8CE" w:rsidR="006C7406" w:rsidRDefault="006C7406" w:rsidP="00027D3B">
                  <w:pPr>
                    <w:tabs>
                      <w:tab w:val="left" w:pos="7230"/>
                    </w:tabs>
                    <w:spacing w:line="276" w:lineRule="auto"/>
                    <w:rPr>
                      <w:rFonts w:cs="Arial"/>
                      <w:color w:val="211A52"/>
                      <w:sz w:val="16"/>
                      <w:szCs w:val="16"/>
                      <w:lang w:val="nb-NO"/>
                    </w:rPr>
                  </w:pPr>
                  <w:r>
                    <w:rPr>
                      <w:rFonts w:cs="Arial"/>
                      <w:color w:val="211A52"/>
                      <w:sz w:val="16"/>
                      <w:szCs w:val="16"/>
                      <w:lang w:val="nb-NO"/>
                    </w:rPr>
                    <w:t xml:space="preserve">Tlf: 9940 </w:t>
                  </w:r>
                  <w:r w:rsidR="006A089F">
                    <w:rPr>
                      <w:rFonts w:cs="Arial"/>
                      <w:color w:val="211A52"/>
                      <w:sz w:val="16"/>
                      <w:szCs w:val="16"/>
                      <w:lang w:val="nb-NO"/>
                    </w:rPr>
                    <w:t>9916</w:t>
                  </w:r>
                </w:p>
                <w:p w14:paraId="247F8743" w14:textId="34DAC859" w:rsidR="009661F8" w:rsidRPr="006A089F" w:rsidRDefault="00686C80" w:rsidP="006C7406">
                  <w:pPr>
                    <w:tabs>
                      <w:tab w:val="left" w:pos="7230"/>
                    </w:tabs>
                    <w:spacing w:line="276" w:lineRule="auto"/>
                    <w:rPr>
                      <w:rFonts w:cs="Arial"/>
                      <w:color w:val="211A52"/>
                      <w:sz w:val="16"/>
                      <w:szCs w:val="16"/>
                      <w:lang w:val="nb-NO"/>
                    </w:rPr>
                  </w:pPr>
                  <w:hyperlink r:id="rId9" w:history="1">
                    <w:r w:rsidR="006A089F" w:rsidRPr="006A089F">
                      <w:rPr>
                        <w:rStyle w:val="Hyperlink"/>
                        <w:sz w:val="16"/>
                        <w:szCs w:val="16"/>
                        <w:lang w:val="en-US"/>
                      </w:rPr>
                      <w:t>studyboard</w:t>
                    </w:r>
                    <w:r w:rsidR="006A089F" w:rsidRPr="009E1CE9">
                      <w:rPr>
                        <w:rStyle w:val="Hyperlink"/>
                        <w:rFonts w:cs="Arial"/>
                        <w:sz w:val="16"/>
                        <w:szCs w:val="16"/>
                        <w:lang w:val="nb-NO"/>
                      </w:rPr>
                      <w:t>@bio.aau.dk</w:t>
                    </w:r>
                  </w:hyperlink>
                  <w:r w:rsidR="006A089F">
                    <w:rPr>
                      <w:rFonts w:cs="Arial"/>
                      <w:sz w:val="16"/>
                      <w:szCs w:val="16"/>
                      <w:lang w:val="nb-NO"/>
                    </w:rPr>
                    <w:t xml:space="preserve"> </w:t>
                  </w:r>
                </w:p>
              </w:tc>
            </w:tr>
          </w:tbl>
          <w:p w14:paraId="5AA7A754" w14:textId="77777777" w:rsidR="00FD7757" w:rsidRPr="009661F8" w:rsidRDefault="00FD7757" w:rsidP="00B92662">
            <w:pPr>
              <w:tabs>
                <w:tab w:val="left" w:pos="7230"/>
              </w:tabs>
              <w:rPr>
                <w:rFonts w:cs="Arial"/>
                <w:szCs w:val="20"/>
                <w:lang w:val="nb-NO"/>
              </w:rPr>
            </w:pPr>
          </w:p>
        </w:tc>
      </w:tr>
    </w:tbl>
    <w:p w14:paraId="4971C660" w14:textId="77777777" w:rsidR="003A0A25" w:rsidRPr="009661F8" w:rsidRDefault="003A0A25" w:rsidP="00B92662">
      <w:pPr>
        <w:tabs>
          <w:tab w:val="left" w:pos="7230"/>
        </w:tabs>
        <w:rPr>
          <w:rFonts w:cs="Arial"/>
          <w:color w:val="211A52"/>
          <w:sz w:val="16"/>
          <w:szCs w:val="16"/>
          <w:lang w:val="nb-NO"/>
        </w:rPr>
      </w:pPr>
    </w:p>
    <w:p w14:paraId="2CD41B94" w14:textId="3DFE2800" w:rsidR="00B92662" w:rsidRPr="00B92662" w:rsidRDefault="00B92662" w:rsidP="00B92662">
      <w:pPr>
        <w:tabs>
          <w:tab w:val="left" w:pos="7230"/>
        </w:tabs>
      </w:pPr>
      <w:r w:rsidRPr="009661F8">
        <w:rPr>
          <w:rFonts w:cs="Arial"/>
          <w:color w:val="211A52"/>
          <w:sz w:val="16"/>
          <w:szCs w:val="16"/>
          <w:lang w:val="nb-NO"/>
        </w:rPr>
        <w:tab/>
      </w:r>
      <w:r>
        <w:rPr>
          <w:rFonts w:cs="Arial"/>
          <w:color w:val="211A52"/>
          <w:sz w:val="16"/>
          <w:szCs w:val="16"/>
        </w:rPr>
        <w:t>Dato:</w:t>
      </w:r>
      <w:r w:rsidR="00C45D31">
        <w:rPr>
          <w:rFonts w:cs="Arial"/>
          <w:color w:val="211A52"/>
          <w:sz w:val="16"/>
          <w:szCs w:val="16"/>
        </w:rPr>
        <w:t>15</w:t>
      </w:r>
      <w:r w:rsidR="00220DE2">
        <w:rPr>
          <w:rFonts w:cs="Arial"/>
          <w:color w:val="211A52"/>
          <w:sz w:val="16"/>
          <w:szCs w:val="16"/>
        </w:rPr>
        <w:t>.0</w:t>
      </w:r>
      <w:r w:rsidR="00DE3111">
        <w:rPr>
          <w:rFonts w:cs="Arial"/>
          <w:color w:val="211A52"/>
          <w:sz w:val="16"/>
          <w:szCs w:val="16"/>
        </w:rPr>
        <w:t>2</w:t>
      </w:r>
      <w:r w:rsidR="00220DE2">
        <w:rPr>
          <w:rFonts w:cs="Arial"/>
          <w:color w:val="211A52"/>
          <w:sz w:val="16"/>
          <w:szCs w:val="16"/>
        </w:rPr>
        <w:t>.202</w:t>
      </w:r>
      <w:r w:rsidR="00DE3111">
        <w:rPr>
          <w:rFonts w:cs="Arial"/>
          <w:color w:val="211A52"/>
          <w:sz w:val="16"/>
          <w:szCs w:val="16"/>
        </w:rPr>
        <w:t>3</w:t>
      </w:r>
      <w:r w:rsidR="006C7406">
        <w:rPr>
          <w:rFonts w:cs="Arial"/>
          <w:color w:val="211A52"/>
          <w:sz w:val="16"/>
          <w:szCs w:val="16"/>
        </w:rPr>
        <w:br/>
      </w:r>
    </w:p>
    <w:p w14:paraId="6032DA46" w14:textId="77777777" w:rsidR="00047F27" w:rsidRPr="006A089F" w:rsidRDefault="005D1620" w:rsidP="006F4EF7">
      <w:pPr>
        <w:rPr>
          <w:rFonts w:cs="Arial"/>
          <w:b/>
          <w:sz w:val="22"/>
        </w:rPr>
      </w:pPr>
      <w:r w:rsidRPr="006A089F">
        <w:rPr>
          <w:rFonts w:cs="Arial"/>
          <w:b/>
          <w:sz w:val="22"/>
        </w:rPr>
        <w:t>Retningslinjer for sagsbehandling i studienævnet for Kemi, Miljø og Bioteknologi</w:t>
      </w:r>
    </w:p>
    <w:p w14:paraId="19ECA3A5" w14:textId="77777777" w:rsidR="005D1620" w:rsidRDefault="005D1620" w:rsidP="005D1620">
      <w:pPr>
        <w:spacing w:after="0"/>
        <w:jc w:val="both"/>
        <w:rPr>
          <w:rFonts w:cs="Arial"/>
          <w:szCs w:val="20"/>
        </w:rPr>
      </w:pPr>
      <w:r w:rsidRPr="006A089F">
        <w:rPr>
          <w:rFonts w:cs="Arial"/>
          <w:szCs w:val="20"/>
        </w:rPr>
        <w:t>På studienævnsmødet d. 26.06.2013 vedtog</w:t>
      </w:r>
      <w:r w:rsidRPr="008B2A80">
        <w:rPr>
          <w:rFonts w:cs="Arial"/>
          <w:szCs w:val="20"/>
        </w:rPr>
        <w:t xml:space="preserve"> studienævnet nedenstående retningslinjer for studienævnets sagsbehandling i forbindelse med dispensationssager, meritsager, ansøgning om midler m.v. Retningslinjerne anviser</w:t>
      </w:r>
      <w:r w:rsidR="00FB2E0C">
        <w:rPr>
          <w:rFonts w:cs="Arial"/>
          <w:szCs w:val="20"/>
        </w:rPr>
        <w:t>,</w:t>
      </w:r>
      <w:r w:rsidRPr="008B2A80">
        <w:rPr>
          <w:rFonts w:cs="Arial"/>
          <w:szCs w:val="20"/>
        </w:rPr>
        <w:t xml:space="preserve"> hvilke sagstyper der kan uddelegeres til hhv studienævnssekretær og studienævnsformand at træffe afgørelse i. Sagstyper, </w:t>
      </w:r>
      <w:r w:rsidR="00FB2E0C">
        <w:rPr>
          <w:rFonts w:cs="Arial"/>
          <w:szCs w:val="20"/>
        </w:rPr>
        <w:t>som uddelegeres,</w:t>
      </w:r>
      <w:r w:rsidRPr="008B2A80">
        <w:rPr>
          <w:rFonts w:cs="Arial"/>
          <w:szCs w:val="20"/>
        </w:rPr>
        <w:t xml:space="preserve"> er sager som skønnes at være sammenlignelige med sager, hvor studienævnet tidligere har truffet afgørelse.</w:t>
      </w:r>
    </w:p>
    <w:p w14:paraId="264EC038" w14:textId="77777777" w:rsidR="00EB18CC" w:rsidRDefault="00EB18CC" w:rsidP="005D1620">
      <w:pPr>
        <w:spacing w:after="0"/>
        <w:jc w:val="both"/>
        <w:rPr>
          <w:rFonts w:cs="Arial"/>
          <w:szCs w:val="20"/>
        </w:rPr>
      </w:pPr>
    </w:p>
    <w:p w14:paraId="3630DE90" w14:textId="77777777" w:rsidR="00EB18CC" w:rsidRPr="008B2A80" w:rsidRDefault="00EB18CC" w:rsidP="005D1620">
      <w:pPr>
        <w:spacing w:after="0"/>
        <w:jc w:val="both"/>
        <w:rPr>
          <w:rFonts w:cs="Arial"/>
          <w:szCs w:val="20"/>
        </w:rPr>
      </w:pPr>
      <w:r>
        <w:rPr>
          <w:rFonts w:cs="Arial"/>
          <w:szCs w:val="20"/>
        </w:rPr>
        <w:t>Retningslinjerne er holdt i overensstemmelse med de udstukne retningslinjer for uddelegering af studienæv</w:t>
      </w:r>
      <w:r w:rsidR="00FB2E0C">
        <w:rPr>
          <w:rFonts w:cs="Arial"/>
          <w:szCs w:val="20"/>
        </w:rPr>
        <w:t>ne</w:t>
      </w:r>
      <w:r>
        <w:rPr>
          <w:rFonts w:cs="Arial"/>
          <w:szCs w:val="20"/>
        </w:rPr>
        <w:t>ts kompetencer beskrevet i '</w:t>
      </w:r>
      <w:r w:rsidRPr="00EB18CC">
        <w:rPr>
          <w:rFonts w:cs="Arial"/>
          <w:szCs w:val="20"/>
        </w:rPr>
        <w:t>Vejledning om behandling af dispensationer pa Aalborg Universitet</w:t>
      </w:r>
      <w:r>
        <w:rPr>
          <w:rFonts w:cs="Arial"/>
          <w:szCs w:val="20"/>
        </w:rPr>
        <w:t>'.</w:t>
      </w:r>
    </w:p>
    <w:p w14:paraId="0BD71953" w14:textId="77777777" w:rsidR="005D1620" w:rsidRPr="008B2A80" w:rsidRDefault="005D1620" w:rsidP="005D1620">
      <w:pPr>
        <w:spacing w:after="0"/>
        <w:jc w:val="both"/>
        <w:rPr>
          <w:rFonts w:cs="Arial"/>
          <w:szCs w:val="20"/>
        </w:rPr>
      </w:pPr>
    </w:p>
    <w:p w14:paraId="55F344EA" w14:textId="4BDB6284" w:rsidR="006C7406" w:rsidRPr="00A46FDC" w:rsidRDefault="005D1620" w:rsidP="005D1620">
      <w:pPr>
        <w:spacing w:after="0"/>
        <w:jc w:val="both"/>
        <w:rPr>
          <w:rFonts w:cs="Arial"/>
          <w:b/>
          <w:szCs w:val="20"/>
        </w:rPr>
      </w:pPr>
      <w:r w:rsidRPr="008B2A80">
        <w:rPr>
          <w:rFonts w:cs="Arial"/>
          <w:szCs w:val="20"/>
        </w:rPr>
        <w:t>Retningslinjerne kan justeres løbende i takt med at studienævnet f</w:t>
      </w:r>
      <w:r w:rsidR="00FB2E0C">
        <w:rPr>
          <w:rFonts w:cs="Arial"/>
          <w:szCs w:val="20"/>
        </w:rPr>
        <w:t>å</w:t>
      </w:r>
      <w:r w:rsidRPr="008B2A80">
        <w:rPr>
          <w:rFonts w:cs="Arial"/>
          <w:szCs w:val="20"/>
        </w:rPr>
        <w:t>r erfaring i nye typer af sager, og er revideret 27.11.2013</w:t>
      </w:r>
      <w:r w:rsidR="00AE4DD0">
        <w:rPr>
          <w:rFonts w:cs="Arial"/>
          <w:szCs w:val="20"/>
        </w:rPr>
        <w:t>, 22.01.2014</w:t>
      </w:r>
      <w:r w:rsidR="00320884">
        <w:rPr>
          <w:rFonts w:cs="Arial"/>
          <w:szCs w:val="20"/>
        </w:rPr>
        <w:t>, 20</w:t>
      </w:r>
      <w:r w:rsidR="00C63CDD">
        <w:rPr>
          <w:rFonts w:cs="Arial"/>
          <w:szCs w:val="20"/>
        </w:rPr>
        <w:t>.</w:t>
      </w:r>
      <w:r w:rsidR="00320884">
        <w:rPr>
          <w:rFonts w:cs="Arial"/>
          <w:szCs w:val="20"/>
        </w:rPr>
        <w:t>08.2014</w:t>
      </w:r>
      <w:r w:rsidR="000B3D38">
        <w:rPr>
          <w:rFonts w:cs="Arial"/>
          <w:szCs w:val="20"/>
        </w:rPr>
        <w:t>, 19.08.2015</w:t>
      </w:r>
      <w:r w:rsidR="00D626D7">
        <w:rPr>
          <w:rFonts w:cs="Arial"/>
          <w:szCs w:val="20"/>
        </w:rPr>
        <w:t>, 17.08.2016</w:t>
      </w:r>
      <w:r w:rsidR="00141379">
        <w:rPr>
          <w:rFonts w:cs="Arial"/>
          <w:szCs w:val="20"/>
        </w:rPr>
        <w:t xml:space="preserve">, </w:t>
      </w:r>
      <w:r w:rsidR="009A2AD6">
        <w:rPr>
          <w:rFonts w:cs="Arial"/>
          <w:szCs w:val="20"/>
        </w:rPr>
        <w:t>18.01.2017</w:t>
      </w:r>
      <w:r w:rsidR="005015A0">
        <w:rPr>
          <w:rFonts w:cs="Arial"/>
          <w:szCs w:val="20"/>
        </w:rPr>
        <w:t>, 13.03.2019</w:t>
      </w:r>
      <w:r w:rsidR="00220DE2">
        <w:rPr>
          <w:rFonts w:cs="Arial"/>
          <w:szCs w:val="20"/>
        </w:rPr>
        <w:t>, 17.02.2021</w:t>
      </w:r>
      <w:r w:rsidR="006A089F">
        <w:rPr>
          <w:rFonts w:cs="Arial"/>
          <w:szCs w:val="20"/>
        </w:rPr>
        <w:t>, 06.04.2022</w:t>
      </w:r>
      <w:r w:rsidR="00CD18F1">
        <w:rPr>
          <w:rFonts w:cs="Arial"/>
          <w:szCs w:val="20"/>
        </w:rPr>
        <w:t xml:space="preserve">, </w:t>
      </w:r>
      <w:r w:rsidR="00C45D31">
        <w:rPr>
          <w:rFonts w:cs="Arial"/>
          <w:szCs w:val="20"/>
        </w:rPr>
        <w:t>15</w:t>
      </w:r>
      <w:r w:rsidR="00CD18F1">
        <w:rPr>
          <w:rFonts w:cs="Arial"/>
          <w:szCs w:val="20"/>
        </w:rPr>
        <w:t>.02.2023</w:t>
      </w:r>
    </w:p>
    <w:p w14:paraId="70A7B4F3" w14:textId="77777777" w:rsidR="006C7406" w:rsidRDefault="006C7406" w:rsidP="006C7406">
      <w:pPr>
        <w:spacing w:after="0"/>
        <w:jc w:val="both"/>
        <w:rPr>
          <w:rFonts w:cs="Arial"/>
          <w:szCs w:val="20"/>
        </w:rPr>
      </w:pPr>
    </w:p>
    <w:p w14:paraId="6CD5B65A" w14:textId="77777777" w:rsidR="006C7406" w:rsidRDefault="006C7406" w:rsidP="006C7406">
      <w:pPr>
        <w:spacing w:after="0"/>
        <w:jc w:val="both"/>
        <w:rPr>
          <w:rFonts w:cs="Arial"/>
          <w:szCs w:val="20"/>
        </w:rPr>
      </w:pPr>
    </w:p>
    <w:p w14:paraId="5DC18012" w14:textId="77777777" w:rsidR="006C7406" w:rsidRDefault="006C7406" w:rsidP="006C7406">
      <w:pPr>
        <w:spacing w:after="0"/>
        <w:jc w:val="both"/>
        <w:rPr>
          <w:rFonts w:cs="Arial"/>
          <w:szCs w:val="20"/>
        </w:rPr>
      </w:pPr>
    </w:p>
    <w:p w14:paraId="635B2999" w14:textId="77777777" w:rsidR="00C35778" w:rsidRDefault="00C35778" w:rsidP="00FD0B0C">
      <w:pPr>
        <w:spacing w:after="0"/>
        <w:jc w:val="both"/>
        <w:rPr>
          <w:rFonts w:cs="Arial"/>
          <w:szCs w:val="20"/>
        </w:rPr>
        <w:sectPr w:rsidR="00C35778" w:rsidSect="00747245">
          <w:headerReference w:type="default" r:id="rId10"/>
          <w:pgSz w:w="11906" w:h="16838"/>
          <w:pgMar w:top="1134" w:right="1021" w:bottom="1418" w:left="1021" w:header="567" w:footer="709" w:gutter="0"/>
          <w:cols w:space="708"/>
          <w:docGrid w:linePitch="360"/>
        </w:sectPr>
      </w:pPr>
    </w:p>
    <w:tbl>
      <w:tblPr>
        <w:tblStyle w:val="Tabel-Gitter"/>
        <w:tblW w:w="0" w:type="auto"/>
        <w:tblLayout w:type="fixed"/>
        <w:tblLook w:val="04A0" w:firstRow="1" w:lastRow="0" w:firstColumn="1" w:lastColumn="0" w:noHBand="0" w:noVBand="1"/>
      </w:tblPr>
      <w:tblGrid>
        <w:gridCol w:w="7196"/>
        <w:gridCol w:w="2126"/>
        <w:gridCol w:w="2178"/>
        <w:gridCol w:w="2152"/>
      </w:tblGrid>
      <w:tr w:rsidR="005D1620" w:rsidRPr="00983D95" w14:paraId="0C759452" w14:textId="77777777" w:rsidTr="00552A8E">
        <w:tc>
          <w:tcPr>
            <w:tcW w:w="7196" w:type="dxa"/>
          </w:tcPr>
          <w:p w14:paraId="3B57C479"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lastRenderedPageBreak/>
              <w:t>Opgave-type</w:t>
            </w:r>
          </w:p>
        </w:tc>
        <w:tc>
          <w:tcPr>
            <w:tcW w:w="2126" w:type="dxa"/>
          </w:tcPr>
          <w:p w14:paraId="31193365"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t>Studienævns-sekretær</w:t>
            </w:r>
          </w:p>
        </w:tc>
        <w:tc>
          <w:tcPr>
            <w:tcW w:w="2178" w:type="dxa"/>
          </w:tcPr>
          <w:p w14:paraId="2ED57093"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t>Studienævns-formand</w:t>
            </w:r>
          </w:p>
        </w:tc>
        <w:tc>
          <w:tcPr>
            <w:tcW w:w="2152" w:type="dxa"/>
          </w:tcPr>
          <w:p w14:paraId="4D4C8ACC"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t>Studienævn</w:t>
            </w:r>
          </w:p>
        </w:tc>
      </w:tr>
      <w:tr w:rsidR="005D1620" w:rsidRPr="00983D95" w14:paraId="728D0A04" w14:textId="77777777" w:rsidTr="00552A8E">
        <w:tc>
          <w:tcPr>
            <w:tcW w:w="7196" w:type="dxa"/>
          </w:tcPr>
          <w:p w14:paraId="15C7C9F6" w14:textId="77777777" w:rsidR="005D1620" w:rsidRPr="00983D95" w:rsidRDefault="005D1620" w:rsidP="00A5669F">
            <w:pPr>
              <w:rPr>
                <w:rFonts w:asciiTheme="minorHAnsi" w:hAnsiTheme="minorHAnsi" w:cs="Arial"/>
                <w:b/>
                <w:szCs w:val="20"/>
              </w:rPr>
            </w:pPr>
            <w:r w:rsidRPr="00983D95">
              <w:rPr>
                <w:rFonts w:asciiTheme="minorHAnsi" w:hAnsiTheme="minorHAnsi" w:cs="Arial"/>
                <w:b/>
                <w:szCs w:val="20"/>
              </w:rPr>
              <w:t>Dispensationssager</w:t>
            </w:r>
          </w:p>
        </w:tc>
        <w:tc>
          <w:tcPr>
            <w:tcW w:w="2126" w:type="dxa"/>
          </w:tcPr>
          <w:p w14:paraId="2C9B9060" w14:textId="77777777" w:rsidR="005D1620" w:rsidRPr="00983D95" w:rsidRDefault="005D1620" w:rsidP="00A5669F">
            <w:pPr>
              <w:rPr>
                <w:rFonts w:asciiTheme="minorHAnsi" w:hAnsiTheme="minorHAnsi" w:cs="Arial"/>
                <w:szCs w:val="20"/>
              </w:rPr>
            </w:pPr>
          </w:p>
        </w:tc>
        <w:tc>
          <w:tcPr>
            <w:tcW w:w="2178" w:type="dxa"/>
          </w:tcPr>
          <w:p w14:paraId="66FE7A94" w14:textId="77777777" w:rsidR="005D1620" w:rsidRPr="00983D95" w:rsidRDefault="005D1620" w:rsidP="00A5669F">
            <w:pPr>
              <w:rPr>
                <w:rFonts w:asciiTheme="minorHAnsi" w:hAnsiTheme="minorHAnsi" w:cs="Arial"/>
                <w:szCs w:val="20"/>
              </w:rPr>
            </w:pPr>
          </w:p>
        </w:tc>
        <w:tc>
          <w:tcPr>
            <w:tcW w:w="2152" w:type="dxa"/>
          </w:tcPr>
          <w:p w14:paraId="4BB17973" w14:textId="77777777" w:rsidR="005D1620" w:rsidRPr="00983D95" w:rsidRDefault="005D1620" w:rsidP="00A5669F">
            <w:pPr>
              <w:rPr>
                <w:rFonts w:asciiTheme="minorHAnsi" w:hAnsiTheme="minorHAnsi" w:cs="Arial"/>
                <w:szCs w:val="20"/>
              </w:rPr>
            </w:pPr>
          </w:p>
        </w:tc>
      </w:tr>
      <w:tr w:rsidR="005D1620" w:rsidRPr="00983D95" w14:paraId="52A7AF9F" w14:textId="77777777" w:rsidTr="00552A8E">
        <w:tc>
          <w:tcPr>
            <w:tcW w:w="7196" w:type="dxa"/>
          </w:tcPr>
          <w:p w14:paraId="27C6221B" w14:textId="77777777" w:rsidR="005D1620" w:rsidRPr="00983D95" w:rsidRDefault="005D1620" w:rsidP="00A5669F">
            <w:pPr>
              <w:rPr>
                <w:rFonts w:asciiTheme="minorHAnsi" w:hAnsiTheme="minorHAnsi" w:cs="Arial"/>
                <w:szCs w:val="20"/>
                <w:u w:val="single"/>
              </w:rPr>
            </w:pPr>
            <w:r w:rsidRPr="00983D95">
              <w:rPr>
                <w:rFonts w:asciiTheme="minorHAnsi" w:hAnsiTheme="minorHAnsi" w:cs="Arial"/>
                <w:szCs w:val="20"/>
                <w:u w:val="single"/>
              </w:rPr>
              <w:t>Ekstra prøveforsøg</w:t>
            </w:r>
          </w:p>
          <w:p w14:paraId="771739F3" w14:textId="77777777" w:rsidR="005D1620" w:rsidRPr="00983D95" w:rsidRDefault="005D1620" w:rsidP="00A5669F">
            <w:pPr>
              <w:rPr>
                <w:rFonts w:asciiTheme="minorHAnsi" w:hAnsiTheme="minorHAnsi" w:cs="Arial"/>
                <w:szCs w:val="20"/>
              </w:rPr>
            </w:pPr>
          </w:p>
          <w:p w14:paraId="51171ECE" w14:textId="77777777" w:rsidR="005D1620" w:rsidRPr="00983D95" w:rsidRDefault="005D1620" w:rsidP="00A5669F">
            <w:pPr>
              <w:rPr>
                <w:rFonts w:asciiTheme="minorHAnsi" w:hAnsiTheme="minorHAnsi" w:cs="Arial"/>
                <w:szCs w:val="20"/>
              </w:rPr>
            </w:pPr>
            <w:r w:rsidRPr="00CA350E">
              <w:rPr>
                <w:rFonts w:asciiTheme="minorHAnsi" w:hAnsiTheme="minorHAnsi" w:cs="Arial"/>
                <w:szCs w:val="20"/>
              </w:rPr>
              <w:t>Retningslinjer jvf. Eksamensordning kap. 8.1</w:t>
            </w:r>
          </w:p>
          <w:p w14:paraId="7F05A4AA" w14:textId="77777777" w:rsidR="005D1620" w:rsidRPr="000C197B" w:rsidRDefault="000C197B" w:rsidP="000C197B">
            <w:pPr>
              <w:pStyle w:val="Listeafsnit"/>
              <w:numPr>
                <w:ilvl w:val="0"/>
                <w:numId w:val="1"/>
              </w:numPr>
              <w:rPr>
                <w:rFonts w:asciiTheme="minorHAnsi" w:hAnsiTheme="minorHAnsi" w:cs="Arial"/>
                <w:sz w:val="20"/>
                <w:szCs w:val="20"/>
              </w:rPr>
            </w:pPr>
            <w:r w:rsidRPr="000C197B">
              <w:rPr>
                <w:rFonts w:asciiTheme="minorHAnsi" w:hAnsiTheme="minorHAnsi" w:cs="Arial"/>
                <w:sz w:val="20"/>
                <w:szCs w:val="20"/>
              </w:rPr>
              <w:t xml:space="preserve">Beståede prøver kan ikke tages om, medmindre der er tale om en </w:t>
            </w:r>
            <w:proofErr w:type="gramStart"/>
            <w:r w:rsidRPr="000C197B">
              <w:rPr>
                <w:rFonts w:asciiTheme="minorHAnsi" w:hAnsiTheme="minorHAnsi" w:cs="Arial"/>
                <w:sz w:val="20"/>
                <w:szCs w:val="20"/>
              </w:rPr>
              <w:t>omprøve .</w:t>
            </w:r>
            <w:proofErr w:type="gramEnd"/>
            <w:r w:rsidRPr="000C197B">
              <w:rPr>
                <w:rFonts w:asciiTheme="minorHAnsi" w:hAnsiTheme="minorHAnsi" w:cs="Arial"/>
                <w:sz w:val="20"/>
                <w:szCs w:val="20"/>
              </w:rPr>
              <w:t xml:space="preserve"> Studerende kan ikke deltage i prøver for moduler der er meritoverførte.</w:t>
            </w:r>
          </w:p>
          <w:p w14:paraId="168B1A2D" w14:textId="559C107C" w:rsidR="005D1620" w:rsidRPr="000C197B" w:rsidRDefault="000C197B" w:rsidP="000C197B">
            <w:pPr>
              <w:pStyle w:val="Listeafsnit"/>
              <w:numPr>
                <w:ilvl w:val="0"/>
                <w:numId w:val="1"/>
              </w:numPr>
              <w:rPr>
                <w:rFonts w:asciiTheme="minorHAnsi" w:hAnsiTheme="minorHAnsi" w:cs="Arial"/>
                <w:sz w:val="20"/>
                <w:szCs w:val="20"/>
              </w:rPr>
            </w:pPr>
            <w:r w:rsidRPr="000C197B">
              <w:rPr>
                <w:rFonts w:asciiTheme="minorHAnsi" w:hAnsiTheme="minorHAnsi" w:cs="Arial"/>
                <w:sz w:val="20"/>
                <w:szCs w:val="20"/>
              </w:rPr>
              <w:t>En studerende har ret til i alt 3 prøveforsøg. Studienævnet kan, efter ansøgning, tillade</w:t>
            </w:r>
            <w:r>
              <w:rPr>
                <w:rFonts w:asciiTheme="minorHAnsi" w:hAnsiTheme="minorHAnsi" w:cs="Arial"/>
                <w:sz w:val="20"/>
                <w:szCs w:val="20"/>
              </w:rPr>
              <w:t xml:space="preserve"> </w:t>
            </w:r>
            <w:r w:rsidRPr="000C197B">
              <w:rPr>
                <w:rFonts w:asciiTheme="minorHAnsi" w:hAnsiTheme="minorHAnsi" w:cs="Arial"/>
                <w:sz w:val="20"/>
                <w:szCs w:val="20"/>
              </w:rPr>
              <w:t xml:space="preserve">yderligere prøveforsøg, såfremt der foreligger usædvanlige forhold. Manglende studieegnethed er i denne forbindelse ikke et usædvanligt </w:t>
            </w:r>
            <w:proofErr w:type="gramStart"/>
            <w:r w:rsidRPr="000C197B">
              <w:rPr>
                <w:rFonts w:asciiTheme="minorHAnsi" w:hAnsiTheme="minorHAnsi" w:cs="Arial"/>
                <w:sz w:val="20"/>
                <w:szCs w:val="20"/>
              </w:rPr>
              <w:t>forhold .</w:t>
            </w:r>
            <w:proofErr w:type="gramEnd"/>
            <w:r w:rsidR="005D1620" w:rsidRPr="000C197B">
              <w:rPr>
                <w:rFonts w:asciiTheme="minorHAnsi" w:hAnsiTheme="minorHAnsi" w:cs="Arial"/>
                <w:sz w:val="20"/>
                <w:szCs w:val="20"/>
              </w:rPr>
              <w:t xml:space="preserve"> </w:t>
            </w:r>
          </w:p>
          <w:p w14:paraId="7177F31B" w14:textId="1179EC4F" w:rsidR="005D1620" w:rsidRPr="00983D95" w:rsidRDefault="000F00DD" w:rsidP="000C197B">
            <w:pPr>
              <w:pStyle w:val="Listeafsnit"/>
              <w:numPr>
                <w:ilvl w:val="0"/>
                <w:numId w:val="1"/>
              </w:numPr>
              <w:rPr>
                <w:rFonts w:asciiTheme="minorHAnsi" w:hAnsiTheme="minorHAnsi" w:cs="Arial"/>
                <w:sz w:val="20"/>
                <w:szCs w:val="20"/>
              </w:rPr>
            </w:pPr>
            <w:r>
              <w:rPr>
                <w:rFonts w:asciiTheme="minorHAnsi" w:hAnsiTheme="minorHAnsi" w:cs="Arial"/>
                <w:sz w:val="20"/>
                <w:szCs w:val="20"/>
              </w:rPr>
              <w:t>Den eller de ansvarlige på instituttet</w:t>
            </w:r>
            <w:r w:rsidR="000C197B" w:rsidRPr="000C197B">
              <w:rPr>
                <w:rFonts w:asciiTheme="minorHAnsi" w:hAnsiTheme="minorHAnsi" w:cs="Arial"/>
                <w:sz w:val="20"/>
                <w:szCs w:val="20"/>
              </w:rPr>
              <w:t xml:space="preserve"> bringer, på foranledning af studienævnet, den studerendes indskrivning til ophør, når</w:t>
            </w:r>
            <w:r w:rsidR="000C197B" w:rsidRPr="00F4371E">
              <w:rPr>
                <w:rFonts w:asciiTheme="minorHAnsi" w:hAnsiTheme="minorHAnsi" w:cs="Arial"/>
                <w:sz w:val="20"/>
                <w:szCs w:val="20"/>
              </w:rPr>
              <w:t xml:space="preserve"> den </w:t>
            </w:r>
            <w:r w:rsidR="00CA350E">
              <w:rPr>
                <w:rFonts w:asciiTheme="minorHAnsi" w:hAnsiTheme="minorHAnsi" w:cs="Arial"/>
                <w:sz w:val="20"/>
                <w:szCs w:val="20"/>
              </w:rPr>
              <w:t xml:space="preserve">studerende </w:t>
            </w:r>
            <w:r w:rsidR="000C197B" w:rsidRPr="00F4371E">
              <w:rPr>
                <w:rFonts w:asciiTheme="minorHAnsi" w:hAnsiTheme="minorHAnsi" w:cs="Arial"/>
                <w:sz w:val="20"/>
                <w:szCs w:val="20"/>
              </w:rPr>
              <w:t>har</w:t>
            </w:r>
            <w:r w:rsidR="000C197B">
              <w:rPr>
                <w:rFonts w:asciiTheme="minorHAnsi" w:hAnsiTheme="minorHAnsi" w:cs="Arial"/>
                <w:sz w:val="20"/>
                <w:szCs w:val="20"/>
              </w:rPr>
              <w:t xml:space="preserve"> </w:t>
            </w:r>
            <w:r w:rsidR="000C197B" w:rsidRPr="000C197B">
              <w:rPr>
                <w:rFonts w:asciiTheme="minorHAnsi" w:hAnsiTheme="minorHAnsi" w:cs="Arial"/>
                <w:sz w:val="20"/>
                <w:szCs w:val="20"/>
              </w:rPr>
              <w:t>opbrugt sine prøveforsøg.</w:t>
            </w:r>
          </w:p>
        </w:tc>
        <w:tc>
          <w:tcPr>
            <w:tcW w:w="2126" w:type="dxa"/>
          </w:tcPr>
          <w:p w14:paraId="21B64CF2" w14:textId="77777777" w:rsidR="005D1620" w:rsidRPr="00983D95" w:rsidRDefault="005D1620" w:rsidP="00A5669F">
            <w:pPr>
              <w:rPr>
                <w:rFonts w:asciiTheme="minorHAnsi" w:hAnsiTheme="minorHAnsi" w:cs="Arial"/>
                <w:szCs w:val="20"/>
              </w:rPr>
            </w:pPr>
          </w:p>
        </w:tc>
        <w:tc>
          <w:tcPr>
            <w:tcW w:w="2178" w:type="dxa"/>
          </w:tcPr>
          <w:p w14:paraId="69B29662"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 af 4. prøveforsøg. Afgørelse træffes evt. i samråd med SN-medlem fra berørte sektion</w:t>
            </w:r>
          </w:p>
          <w:p w14:paraId="03402FD5" w14:textId="77777777" w:rsidR="005D1620" w:rsidRPr="00983D95" w:rsidRDefault="005D1620" w:rsidP="00A5669F">
            <w:pPr>
              <w:rPr>
                <w:rFonts w:asciiTheme="minorHAnsi" w:hAnsiTheme="minorHAnsi" w:cs="Arial"/>
                <w:szCs w:val="20"/>
              </w:rPr>
            </w:pPr>
          </w:p>
          <w:p w14:paraId="5077A604"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 xml:space="preserve">Godkendelse af 5. </w:t>
            </w:r>
            <w:r w:rsidR="00220DE2">
              <w:rPr>
                <w:rFonts w:asciiTheme="minorHAnsi" w:hAnsiTheme="minorHAnsi" w:cs="Arial"/>
                <w:szCs w:val="20"/>
              </w:rPr>
              <w:t xml:space="preserve">eller yderligere </w:t>
            </w:r>
            <w:r w:rsidRPr="00983D95">
              <w:rPr>
                <w:rFonts w:asciiTheme="minorHAnsi" w:hAnsiTheme="minorHAnsi" w:cs="Arial"/>
                <w:szCs w:val="20"/>
              </w:rPr>
              <w:t>prøveforsøg i hastesager, evt. i samråd med SN-medlem fra berørte sektion</w:t>
            </w:r>
          </w:p>
        </w:tc>
        <w:tc>
          <w:tcPr>
            <w:tcW w:w="2152" w:type="dxa"/>
          </w:tcPr>
          <w:p w14:paraId="1928C4AB"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 af 5. og yderligere prøveforsøg</w:t>
            </w:r>
          </w:p>
          <w:p w14:paraId="4C0D9D1A" w14:textId="77777777" w:rsidR="005D1620" w:rsidRPr="00983D95" w:rsidRDefault="005D1620" w:rsidP="00A5669F">
            <w:pPr>
              <w:rPr>
                <w:rFonts w:asciiTheme="minorHAnsi" w:hAnsiTheme="minorHAnsi" w:cs="Arial"/>
                <w:szCs w:val="20"/>
              </w:rPr>
            </w:pPr>
          </w:p>
          <w:p w14:paraId="4150C523"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1A4D08FC" w14:textId="77777777" w:rsidTr="00552A8E">
        <w:tc>
          <w:tcPr>
            <w:tcW w:w="7196" w:type="dxa"/>
          </w:tcPr>
          <w:p w14:paraId="060953C9"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u w:val="single"/>
              </w:rPr>
              <w:t>Optagelse på kandidatuddannelse på dispensationsramme</w:t>
            </w:r>
          </w:p>
          <w:p w14:paraId="2EE00483" w14:textId="77777777" w:rsidR="005D1620" w:rsidRPr="00983D95" w:rsidRDefault="005D1620" w:rsidP="00A5669F">
            <w:pPr>
              <w:rPr>
                <w:rFonts w:asciiTheme="minorHAnsi" w:hAnsiTheme="minorHAnsi" w:cs="Arial"/>
                <w:szCs w:val="20"/>
              </w:rPr>
            </w:pPr>
          </w:p>
          <w:p w14:paraId="6319DBCC" w14:textId="77777777" w:rsidR="005D1620" w:rsidRDefault="005D1620" w:rsidP="00A5669F">
            <w:pPr>
              <w:rPr>
                <w:rStyle w:val="Hyperlink"/>
                <w:rFonts w:asciiTheme="minorHAnsi" w:hAnsiTheme="minorHAnsi" w:cs="Arial"/>
                <w:szCs w:val="20"/>
              </w:rPr>
            </w:pPr>
            <w:r w:rsidRPr="00983D95">
              <w:rPr>
                <w:rFonts w:asciiTheme="minorHAnsi" w:hAnsiTheme="minorHAnsi" w:cs="Arial"/>
                <w:szCs w:val="20"/>
              </w:rPr>
              <w:t xml:space="preserve">Retningslinjer jvf.  </w:t>
            </w:r>
          </w:p>
          <w:p w14:paraId="72120283" w14:textId="6725AA74" w:rsidR="00C63CDD" w:rsidRPr="00983D95" w:rsidRDefault="00686C80" w:rsidP="00A5669F">
            <w:pPr>
              <w:rPr>
                <w:rFonts w:asciiTheme="minorHAnsi" w:hAnsiTheme="minorHAnsi" w:cs="Arial"/>
                <w:szCs w:val="20"/>
              </w:rPr>
            </w:pPr>
            <w:hyperlink r:id="rId11" w:history="1">
              <w:r w:rsidR="00CA350E" w:rsidRPr="009452D7">
                <w:rPr>
                  <w:rStyle w:val="Hyperlink"/>
                  <w:rFonts w:asciiTheme="minorHAnsi" w:hAnsiTheme="minorHAnsi" w:cs="Arial"/>
                  <w:szCs w:val="20"/>
                </w:rPr>
                <w:t>https://www.aau.dk/uddannelser/optagelse/kandidat/adgangskrav/</w:t>
              </w:r>
            </w:hyperlink>
            <w:r w:rsidR="00CA350E">
              <w:rPr>
                <w:rFonts w:asciiTheme="minorHAnsi" w:hAnsiTheme="minorHAnsi" w:cs="Arial"/>
                <w:szCs w:val="20"/>
              </w:rPr>
              <w:t xml:space="preserve"> </w:t>
            </w:r>
          </w:p>
          <w:p w14:paraId="37F760E3" w14:textId="77777777" w:rsidR="005D1620" w:rsidRPr="00983D95" w:rsidRDefault="005D1620" w:rsidP="00A5669F">
            <w:pPr>
              <w:rPr>
                <w:rFonts w:asciiTheme="minorHAnsi" w:hAnsiTheme="minorHAnsi" w:cs="Arial"/>
                <w:szCs w:val="20"/>
              </w:rPr>
            </w:pPr>
          </w:p>
          <w:p w14:paraId="2FF44A5A" w14:textId="77777777" w:rsidR="005D1620" w:rsidRDefault="00D626D7" w:rsidP="00A5669F">
            <w:pPr>
              <w:rPr>
                <w:rFonts w:asciiTheme="minorHAnsi" w:hAnsiTheme="minorHAnsi" w:cs="Arial"/>
                <w:szCs w:val="20"/>
              </w:rPr>
            </w:pPr>
            <w:r w:rsidRPr="00D626D7">
              <w:rPr>
                <w:rFonts w:asciiTheme="minorHAnsi" w:hAnsiTheme="minorHAnsi" w:cs="Arial"/>
                <w:szCs w:val="20"/>
              </w:rPr>
              <w:t>For at opnå en dispensation, skal studienævnet skønne, at du har faglige forudsætninger for at gennemføre og bestå din bacheloruddannelse samtidig med, at du følger fag på kandidatuddannelsen</w:t>
            </w:r>
            <w:r w:rsidR="00CA350E">
              <w:rPr>
                <w:rFonts w:asciiTheme="minorHAnsi" w:hAnsiTheme="minorHAnsi" w:cs="Arial"/>
                <w:szCs w:val="20"/>
              </w:rPr>
              <w:t>.</w:t>
            </w:r>
          </w:p>
          <w:p w14:paraId="284CC3B3" w14:textId="73D888DC" w:rsidR="00203F65" w:rsidRPr="00D626D7" w:rsidRDefault="00443517" w:rsidP="00A5669F">
            <w:pPr>
              <w:rPr>
                <w:rFonts w:asciiTheme="minorHAnsi" w:hAnsiTheme="minorHAnsi" w:cs="Arial"/>
                <w:szCs w:val="20"/>
              </w:rPr>
            </w:pPr>
            <w:r w:rsidRPr="00DE1EC9">
              <w:rPr>
                <w:rFonts w:asciiTheme="minorHAnsi" w:hAnsiTheme="minorHAnsi" w:cs="Arial"/>
                <w:szCs w:val="20"/>
              </w:rPr>
              <w:t>Du skal desuden være opmærksom på, at</w:t>
            </w:r>
            <w:r w:rsidR="00203F65" w:rsidRPr="00DE1EC9">
              <w:rPr>
                <w:rFonts w:asciiTheme="minorHAnsi" w:hAnsiTheme="minorHAnsi" w:cs="Arial"/>
                <w:szCs w:val="20"/>
              </w:rPr>
              <w:t xml:space="preserve"> man max </w:t>
            </w:r>
            <w:r w:rsidR="00023FF1">
              <w:rPr>
                <w:rFonts w:asciiTheme="minorHAnsi" w:hAnsiTheme="minorHAnsi" w:cs="Arial"/>
                <w:szCs w:val="20"/>
              </w:rPr>
              <w:t>må</w:t>
            </w:r>
            <w:r w:rsidRPr="00DE1EC9">
              <w:rPr>
                <w:rFonts w:asciiTheme="minorHAnsi" w:hAnsiTheme="minorHAnsi" w:cs="Arial"/>
                <w:szCs w:val="20"/>
              </w:rPr>
              <w:t xml:space="preserve"> tilmelde sig</w:t>
            </w:r>
            <w:r w:rsidR="00203F65" w:rsidRPr="00DE1EC9">
              <w:rPr>
                <w:rFonts w:asciiTheme="minorHAnsi" w:hAnsiTheme="minorHAnsi" w:cs="Arial"/>
                <w:szCs w:val="20"/>
              </w:rPr>
              <w:t xml:space="preserve"> 30 ECTS på kandidat</w:t>
            </w:r>
            <w:r w:rsidR="00DE1EC9" w:rsidRPr="00DE1EC9">
              <w:rPr>
                <w:rFonts w:asciiTheme="minorHAnsi" w:hAnsiTheme="minorHAnsi" w:cs="Arial"/>
                <w:szCs w:val="20"/>
              </w:rPr>
              <w:t>uddannelsen</w:t>
            </w:r>
            <w:r w:rsidR="00203F65" w:rsidRPr="00DE1EC9">
              <w:rPr>
                <w:rFonts w:asciiTheme="minorHAnsi" w:hAnsiTheme="minorHAnsi" w:cs="Arial"/>
                <w:szCs w:val="20"/>
              </w:rPr>
              <w:t xml:space="preserve"> før man har bestået bacheloruddan</w:t>
            </w:r>
            <w:r w:rsidR="00203F65" w:rsidRPr="00686C80">
              <w:rPr>
                <w:rFonts w:asciiTheme="minorHAnsi" w:hAnsiTheme="minorHAnsi" w:cs="Arial"/>
                <w:szCs w:val="20"/>
              </w:rPr>
              <w:t>nelsen.</w:t>
            </w:r>
            <w:r w:rsidRPr="00686C80">
              <w:rPr>
                <w:rFonts w:asciiTheme="minorHAnsi" w:hAnsiTheme="minorHAnsi" w:cs="Arial"/>
                <w:szCs w:val="20"/>
              </w:rPr>
              <w:t xml:space="preserve"> Dvs.</w:t>
            </w:r>
            <w:r w:rsidRPr="00686C80">
              <w:rPr>
                <w:rFonts w:asciiTheme="minorHAnsi" w:hAnsiTheme="minorHAnsi" w:cs="Arial"/>
                <w:szCs w:val="20"/>
              </w:rPr>
              <w:t xml:space="preserve"> hvis du mangler </w:t>
            </w:r>
            <w:r w:rsidRPr="00686C80">
              <w:rPr>
                <w:rFonts w:asciiTheme="minorHAnsi" w:hAnsiTheme="minorHAnsi" w:cs="Arial"/>
                <w:szCs w:val="20"/>
              </w:rPr>
              <w:t xml:space="preserve">at bestå et </w:t>
            </w:r>
            <w:r w:rsidRPr="00686C80">
              <w:rPr>
                <w:rFonts w:asciiTheme="minorHAnsi" w:hAnsiTheme="minorHAnsi" w:cs="Arial"/>
                <w:szCs w:val="20"/>
              </w:rPr>
              <w:t>modul fra forårssemesteret</w:t>
            </w:r>
            <w:r w:rsidR="00023FF1" w:rsidRPr="00686C80">
              <w:rPr>
                <w:rFonts w:asciiTheme="minorHAnsi" w:hAnsiTheme="minorHAnsi" w:cs="Arial"/>
                <w:szCs w:val="20"/>
              </w:rPr>
              <w:t xml:space="preserve"> på din bacheloruddannelse</w:t>
            </w:r>
            <w:r w:rsidRPr="00686C80">
              <w:rPr>
                <w:rFonts w:asciiTheme="minorHAnsi" w:hAnsiTheme="minorHAnsi" w:cs="Arial"/>
                <w:szCs w:val="20"/>
              </w:rPr>
              <w:t xml:space="preserve">, vil </w:t>
            </w:r>
            <w:r w:rsidR="00023FF1" w:rsidRPr="00686C80">
              <w:rPr>
                <w:rFonts w:asciiTheme="minorHAnsi" w:hAnsiTheme="minorHAnsi" w:cs="Arial"/>
                <w:szCs w:val="20"/>
              </w:rPr>
              <w:t>du</w:t>
            </w:r>
            <w:r w:rsidRPr="00686C80">
              <w:rPr>
                <w:rFonts w:asciiTheme="minorHAnsi" w:hAnsiTheme="minorHAnsi" w:cs="Arial"/>
                <w:szCs w:val="20"/>
              </w:rPr>
              <w:t xml:space="preserve"> allerede fra start være</w:t>
            </w:r>
            <w:r w:rsidRPr="00686C80">
              <w:rPr>
                <w:rFonts w:asciiTheme="minorHAnsi" w:hAnsiTheme="minorHAnsi" w:cs="Arial"/>
                <w:szCs w:val="20"/>
              </w:rPr>
              <w:t xml:space="preserve"> bagud på kandidat</w:t>
            </w:r>
            <w:r w:rsidR="00023FF1" w:rsidRPr="00686C80">
              <w:rPr>
                <w:rFonts w:asciiTheme="minorHAnsi" w:hAnsiTheme="minorHAnsi" w:cs="Arial"/>
                <w:szCs w:val="20"/>
              </w:rPr>
              <w:t>uddannelsen</w:t>
            </w:r>
            <w:r w:rsidRPr="00686C80">
              <w:rPr>
                <w:rFonts w:asciiTheme="minorHAnsi" w:hAnsiTheme="minorHAnsi" w:cs="Arial"/>
                <w:szCs w:val="20"/>
              </w:rPr>
              <w:t>.</w:t>
            </w:r>
            <w:r w:rsidR="00203F65">
              <w:rPr>
                <w:rFonts w:asciiTheme="minorHAnsi" w:hAnsiTheme="minorHAnsi" w:cs="Arial"/>
                <w:szCs w:val="20"/>
              </w:rPr>
              <w:t xml:space="preserve"> </w:t>
            </w:r>
          </w:p>
        </w:tc>
        <w:tc>
          <w:tcPr>
            <w:tcW w:w="2126" w:type="dxa"/>
          </w:tcPr>
          <w:p w14:paraId="23FC7EB3" w14:textId="77777777" w:rsidR="005D1620" w:rsidRPr="00983D95" w:rsidRDefault="005D1620" w:rsidP="00A5669F">
            <w:pPr>
              <w:rPr>
                <w:rFonts w:asciiTheme="minorHAnsi" w:hAnsiTheme="minorHAnsi" w:cs="Arial"/>
                <w:szCs w:val="20"/>
              </w:rPr>
            </w:pPr>
          </w:p>
        </w:tc>
        <w:tc>
          <w:tcPr>
            <w:tcW w:w="2178" w:type="dxa"/>
          </w:tcPr>
          <w:p w14:paraId="2895563F"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Afgørelse træffes evt. i samråd med SN-medlem fra berørte sektion</w:t>
            </w:r>
          </w:p>
        </w:tc>
        <w:tc>
          <w:tcPr>
            <w:tcW w:w="2152" w:type="dxa"/>
          </w:tcPr>
          <w:p w14:paraId="041A71BA"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Afgørelser, hvor der er uenighed eller usikkerhed</w:t>
            </w:r>
          </w:p>
          <w:p w14:paraId="0589A0F3" w14:textId="77777777" w:rsidR="005D1620" w:rsidRPr="00983D95" w:rsidRDefault="005D1620" w:rsidP="00A5669F">
            <w:pPr>
              <w:rPr>
                <w:rFonts w:asciiTheme="minorHAnsi" w:hAnsiTheme="minorHAnsi" w:cs="Arial"/>
                <w:szCs w:val="20"/>
              </w:rPr>
            </w:pPr>
          </w:p>
          <w:p w14:paraId="0BF03C7C"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53C64818" w14:textId="77777777" w:rsidTr="00552A8E">
        <w:tc>
          <w:tcPr>
            <w:tcW w:w="7196" w:type="dxa"/>
          </w:tcPr>
          <w:p w14:paraId="185E7E45" w14:textId="77777777" w:rsidR="005D1620" w:rsidRPr="00983D95" w:rsidRDefault="005D1620" w:rsidP="00A5669F">
            <w:pPr>
              <w:rPr>
                <w:rFonts w:asciiTheme="minorHAnsi" w:hAnsiTheme="minorHAnsi" w:cs="Arial"/>
                <w:szCs w:val="20"/>
                <w:u w:val="single"/>
              </w:rPr>
            </w:pPr>
            <w:r w:rsidRPr="00983D95">
              <w:rPr>
                <w:rFonts w:asciiTheme="minorHAnsi" w:hAnsiTheme="minorHAnsi" w:cs="Arial"/>
                <w:szCs w:val="20"/>
                <w:u w:val="single"/>
              </w:rPr>
              <w:t>Særlige prøvevilkår</w:t>
            </w:r>
          </w:p>
          <w:p w14:paraId="7C1EE4EB" w14:textId="77777777" w:rsidR="005D1620" w:rsidRPr="00983D95" w:rsidRDefault="005D1620" w:rsidP="00A5669F">
            <w:pPr>
              <w:rPr>
                <w:rFonts w:asciiTheme="minorHAnsi" w:hAnsiTheme="minorHAnsi" w:cs="Arial"/>
                <w:szCs w:val="20"/>
              </w:rPr>
            </w:pPr>
          </w:p>
          <w:p w14:paraId="484112FE"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Retningslinjer jvf. Eksamensordning kap. 3.</w:t>
            </w:r>
            <w:r w:rsidR="000F00DD">
              <w:rPr>
                <w:rFonts w:asciiTheme="minorHAnsi" w:hAnsiTheme="minorHAnsi" w:cs="Arial"/>
                <w:szCs w:val="20"/>
              </w:rPr>
              <w:t>4</w:t>
            </w:r>
            <w:r w:rsidRPr="00983D95">
              <w:rPr>
                <w:rFonts w:asciiTheme="minorHAnsi" w:hAnsiTheme="minorHAnsi" w:cs="Arial"/>
                <w:szCs w:val="20"/>
              </w:rPr>
              <w:t xml:space="preserve"> </w:t>
            </w:r>
          </w:p>
          <w:p w14:paraId="03826B6D" w14:textId="1BD6F3C4" w:rsidR="005D1620" w:rsidRPr="00983D95" w:rsidRDefault="005D1620" w:rsidP="00A5669F">
            <w:pPr>
              <w:pStyle w:val="Listeafsnit"/>
              <w:numPr>
                <w:ilvl w:val="0"/>
                <w:numId w:val="2"/>
              </w:numPr>
              <w:rPr>
                <w:rFonts w:asciiTheme="minorHAnsi" w:hAnsiTheme="minorHAnsi" w:cs="Arial"/>
                <w:sz w:val="20"/>
                <w:szCs w:val="20"/>
              </w:rPr>
            </w:pPr>
            <w:r w:rsidRPr="00983D95">
              <w:rPr>
                <w:rFonts w:asciiTheme="minorHAnsi" w:hAnsiTheme="minorHAnsi" w:cs="Arial"/>
                <w:sz w:val="20"/>
                <w:szCs w:val="20"/>
              </w:rPr>
              <w:t xml:space="preserve">Studienævnet kan, efter ansøgning, tilbyde særlige prøvevilkår til studerende med fysisk eller psykisk funktionsnedsættelse, til studerende med et andet modersmål end dansk og til studerende med tilsvarende vanskeligheder. Dette forudsætter, at studienævnet vurderer, at det ved den konkrete prøve er nødvendigt at dispensere for at ligestille sådanne studerende med andre i prøvesituationen. Det er en forudsætning, at der </w:t>
            </w:r>
            <w:r w:rsidR="00CA350E">
              <w:rPr>
                <w:rFonts w:asciiTheme="minorHAnsi" w:hAnsiTheme="minorHAnsi" w:cs="Arial"/>
                <w:sz w:val="20"/>
                <w:szCs w:val="20"/>
              </w:rPr>
              <w:t xml:space="preserve">ikke </w:t>
            </w:r>
            <w:r w:rsidRPr="00983D95">
              <w:rPr>
                <w:rFonts w:asciiTheme="minorHAnsi" w:hAnsiTheme="minorHAnsi" w:cs="Arial"/>
                <w:sz w:val="20"/>
                <w:szCs w:val="20"/>
              </w:rPr>
              <w:t>med tilbuddet sker en sænkning af prøvens niveau.</w:t>
            </w:r>
          </w:p>
          <w:p w14:paraId="544556A5" w14:textId="77777777" w:rsidR="005A3A91" w:rsidRDefault="005A3A91" w:rsidP="009C35EF">
            <w:pPr>
              <w:pStyle w:val="Listeafsnit"/>
              <w:numPr>
                <w:ilvl w:val="0"/>
                <w:numId w:val="2"/>
              </w:numPr>
              <w:rPr>
                <w:rFonts w:asciiTheme="minorHAnsi" w:hAnsiTheme="minorHAnsi" w:cs="Arial"/>
                <w:sz w:val="20"/>
                <w:szCs w:val="20"/>
              </w:rPr>
            </w:pPr>
            <w:r w:rsidRPr="005A3A91">
              <w:rPr>
                <w:rFonts w:asciiTheme="minorHAnsi" w:hAnsiTheme="minorHAnsi" w:cs="Arial"/>
                <w:sz w:val="20"/>
                <w:szCs w:val="20"/>
              </w:rPr>
              <w:lastRenderedPageBreak/>
              <w:t>Såfremt den studerende dokumenterer en relevant specifik funktionsnedsættelse, og stave- og formuleringsevnen ikke er en væsentlig del af prøvens formål, kan studienævnet endvidere, efter ansøgning, dispensere fra studieordningens krav om, at der i bedømmelsen af en skriftlig opgavebesvarelse tillige indgår en bedømmelse af den studerendes stave- og formuleringsevne.</w:t>
            </w:r>
          </w:p>
          <w:p w14:paraId="56D5CA25" w14:textId="58323F16" w:rsidR="005A3A91" w:rsidRPr="007D4930" w:rsidRDefault="005A3A91" w:rsidP="007D4930">
            <w:pPr>
              <w:pStyle w:val="Listeafsnit"/>
              <w:numPr>
                <w:ilvl w:val="0"/>
                <w:numId w:val="2"/>
              </w:numPr>
              <w:rPr>
                <w:rFonts w:asciiTheme="minorHAnsi" w:hAnsiTheme="minorHAnsi" w:cs="Arial"/>
                <w:sz w:val="20"/>
                <w:szCs w:val="20"/>
              </w:rPr>
            </w:pPr>
            <w:r w:rsidRPr="005A3A91">
              <w:rPr>
                <w:rFonts w:asciiTheme="minorHAnsi" w:hAnsiTheme="minorHAnsi" w:cs="Arial"/>
                <w:sz w:val="20"/>
                <w:szCs w:val="20"/>
              </w:rPr>
              <w:t xml:space="preserve">Medmindre der foreligger usædvanlige forhold, skal en ansøgning om særlige vilkår være </w:t>
            </w:r>
            <w:r w:rsidRPr="007D4930">
              <w:rPr>
                <w:rFonts w:asciiTheme="minorHAnsi" w:hAnsiTheme="minorHAnsi" w:cs="Arial"/>
                <w:sz w:val="20"/>
                <w:szCs w:val="20"/>
              </w:rPr>
              <w:t>studienævnet i</w:t>
            </w:r>
            <w:r w:rsidR="007D4930" w:rsidRPr="007D4930">
              <w:rPr>
                <w:rFonts w:asciiTheme="minorHAnsi" w:hAnsiTheme="minorHAnsi" w:cs="Arial"/>
                <w:sz w:val="20"/>
                <w:szCs w:val="20"/>
              </w:rPr>
              <w:t xml:space="preserve"> </w:t>
            </w:r>
            <w:r w:rsidRPr="007D4930">
              <w:rPr>
                <w:rFonts w:asciiTheme="minorHAnsi" w:hAnsiTheme="minorHAnsi" w:cs="Arial"/>
                <w:sz w:val="20"/>
                <w:szCs w:val="20"/>
              </w:rPr>
              <w:t>hænde senest 6 uger før prøvens afholdelse. På den måde sikres det, at studienævnet har tid til at behandle dispensationsansøgningen, inden prøven afholdes.</w:t>
            </w:r>
          </w:p>
          <w:p w14:paraId="63C2D0A5" w14:textId="0DF1A665" w:rsidR="000F00DD" w:rsidRPr="005A3A91" w:rsidRDefault="005A3A91" w:rsidP="005A3A91">
            <w:pPr>
              <w:pStyle w:val="Listeafsnit"/>
              <w:numPr>
                <w:ilvl w:val="0"/>
                <w:numId w:val="2"/>
              </w:numPr>
              <w:rPr>
                <w:rFonts w:asciiTheme="minorHAnsi" w:hAnsiTheme="minorHAnsi" w:cs="Arial"/>
                <w:sz w:val="20"/>
                <w:szCs w:val="20"/>
              </w:rPr>
            </w:pPr>
            <w:r w:rsidRPr="005A3A91">
              <w:rPr>
                <w:rFonts w:asciiTheme="minorHAnsi" w:hAnsiTheme="minorHAnsi" w:cs="Arial"/>
                <w:sz w:val="20"/>
                <w:szCs w:val="20"/>
              </w:rPr>
              <w:t>Studerende med fysisk eller psykisk funktionsnedsættelse har endvidere mulighed for at søge om specialpædagogisk støtte hos SU-kontoret. Hvis den studerende modtager hjælpemidler gennem den specialpædagogiske støtteordning, som ønskes anvendt i forbindelse med en eller flere prøver, skal den studerende søge studienævnet om dispensation til at anvende hjælpemidlerne til eksamen. Det kan f.eks. dreje sig om anvendelse af computer med kompenserende teknologisk udstyr eller bøger, der er indlæst på et digitalt medie.</w:t>
            </w:r>
          </w:p>
        </w:tc>
        <w:tc>
          <w:tcPr>
            <w:tcW w:w="2126" w:type="dxa"/>
          </w:tcPr>
          <w:p w14:paraId="43CB2E92"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lastRenderedPageBreak/>
              <w:t>Godkendelse på baggrund af dokumenteret</w:t>
            </w:r>
          </w:p>
          <w:p w14:paraId="64C66EB4" w14:textId="77777777" w:rsidR="005D1620" w:rsidRPr="00983D95" w:rsidRDefault="005D1620" w:rsidP="00A5669F">
            <w:pPr>
              <w:pStyle w:val="Listeafsnit"/>
              <w:numPr>
                <w:ilvl w:val="0"/>
                <w:numId w:val="3"/>
              </w:numPr>
              <w:rPr>
                <w:rFonts w:asciiTheme="minorHAnsi" w:hAnsiTheme="minorHAnsi" w:cs="Arial"/>
                <w:sz w:val="20"/>
                <w:szCs w:val="20"/>
              </w:rPr>
            </w:pPr>
            <w:r w:rsidRPr="00983D95">
              <w:rPr>
                <w:rFonts w:asciiTheme="minorHAnsi" w:hAnsiTheme="minorHAnsi" w:cs="Arial"/>
                <w:sz w:val="20"/>
                <w:szCs w:val="20"/>
              </w:rPr>
              <w:t>Ordblindhed</w:t>
            </w:r>
          </w:p>
          <w:p w14:paraId="2B91DD2A" w14:textId="5C334A3D" w:rsidR="005D1620" w:rsidRPr="00983D95" w:rsidRDefault="005D1620" w:rsidP="00A5669F">
            <w:pPr>
              <w:pStyle w:val="Listeafsnit"/>
              <w:numPr>
                <w:ilvl w:val="0"/>
                <w:numId w:val="3"/>
              </w:numPr>
              <w:rPr>
                <w:rFonts w:asciiTheme="minorHAnsi" w:hAnsiTheme="minorHAnsi" w:cs="Arial"/>
                <w:sz w:val="20"/>
                <w:szCs w:val="20"/>
              </w:rPr>
            </w:pPr>
            <w:r w:rsidRPr="00983D95">
              <w:rPr>
                <w:rFonts w:asciiTheme="minorHAnsi" w:hAnsiTheme="minorHAnsi" w:cs="Arial"/>
                <w:sz w:val="20"/>
                <w:szCs w:val="20"/>
              </w:rPr>
              <w:t>Anden funktions-nedsættelse, der tidliger</w:t>
            </w:r>
            <w:r w:rsidR="00CA350E">
              <w:rPr>
                <w:rFonts w:asciiTheme="minorHAnsi" w:hAnsiTheme="minorHAnsi" w:cs="Arial"/>
                <w:sz w:val="20"/>
                <w:szCs w:val="20"/>
              </w:rPr>
              <w:t>e</w:t>
            </w:r>
            <w:r w:rsidRPr="00983D95">
              <w:rPr>
                <w:rFonts w:asciiTheme="minorHAnsi" w:hAnsiTheme="minorHAnsi" w:cs="Arial"/>
                <w:sz w:val="20"/>
                <w:szCs w:val="20"/>
              </w:rPr>
              <w:t xml:space="preserve"> har udløst særlige vilkår</w:t>
            </w:r>
          </w:p>
        </w:tc>
        <w:tc>
          <w:tcPr>
            <w:tcW w:w="2178" w:type="dxa"/>
          </w:tcPr>
          <w:p w14:paraId="15DE4BB5"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 på baggrund af dokumenteret</w:t>
            </w:r>
          </w:p>
          <w:p w14:paraId="0C0B221E" w14:textId="77777777" w:rsidR="005D1620" w:rsidRPr="00983D95" w:rsidRDefault="005D1620" w:rsidP="00A5669F">
            <w:pPr>
              <w:pStyle w:val="Listeafsnit"/>
              <w:numPr>
                <w:ilvl w:val="0"/>
                <w:numId w:val="4"/>
              </w:numPr>
              <w:rPr>
                <w:rFonts w:asciiTheme="minorHAnsi" w:hAnsiTheme="minorHAnsi" w:cs="Arial"/>
                <w:sz w:val="20"/>
                <w:szCs w:val="20"/>
              </w:rPr>
            </w:pPr>
            <w:r w:rsidRPr="00983D95">
              <w:rPr>
                <w:rFonts w:asciiTheme="minorHAnsi" w:hAnsiTheme="minorHAnsi" w:cs="Arial"/>
                <w:sz w:val="20"/>
                <w:szCs w:val="20"/>
              </w:rPr>
              <w:t>Funktions-nedsættelse, der ikke tidliger har udløst særlige prøvevilkår</w:t>
            </w:r>
          </w:p>
        </w:tc>
        <w:tc>
          <w:tcPr>
            <w:tcW w:w="2152" w:type="dxa"/>
          </w:tcPr>
          <w:p w14:paraId="222897B1"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Øvrige godkendelser af særlige prøvevilkår.</w:t>
            </w:r>
          </w:p>
          <w:p w14:paraId="0A501D06" w14:textId="77777777" w:rsidR="005D1620" w:rsidRPr="00983D95" w:rsidRDefault="005D1620" w:rsidP="00A5669F">
            <w:pPr>
              <w:rPr>
                <w:rFonts w:asciiTheme="minorHAnsi" w:hAnsiTheme="minorHAnsi" w:cs="Arial"/>
                <w:szCs w:val="20"/>
              </w:rPr>
            </w:pPr>
          </w:p>
          <w:p w14:paraId="3E7619BD"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61D4C5EA" w14:textId="77777777" w:rsidTr="00552A8E">
        <w:tc>
          <w:tcPr>
            <w:tcW w:w="7196" w:type="dxa"/>
          </w:tcPr>
          <w:p w14:paraId="78C891CA" w14:textId="77777777" w:rsidR="005D1620" w:rsidRPr="00983D95" w:rsidRDefault="005D1620" w:rsidP="00A5669F">
            <w:pPr>
              <w:rPr>
                <w:rFonts w:asciiTheme="minorHAnsi" w:hAnsiTheme="minorHAnsi" w:cs="Arial"/>
                <w:szCs w:val="20"/>
                <w:u w:val="single"/>
              </w:rPr>
            </w:pPr>
            <w:r w:rsidRPr="00983D95">
              <w:rPr>
                <w:rFonts w:asciiTheme="minorHAnsi" w:hAnsiTheme="minorHAnsi" w:cs="Arial"/>
                <w:szCs w:val="20"/>
                <w:u w:val="single"/>
              </w:rPr>
              <w:t>Lukket eksamen</w:t>
            </w:r>
          </w:p>
          <w:p w14:paraId="418DE0C1" w14:textId="77777777" w:rsidR="005D1620" w:rsidRPr="00983D95" w:rsidRDefault="005D1620" w:rsidP="00A5669F">
            <w:pPr>
              <w:rPr>
                <w:rFonts w:asciiTheme="minorHAnsi" w:hAnsiTheme="minorHAnsi" w:cs="Arial"/>
                <w:szCs w:val="20"/>
              </w:rPr>
            </w:pPr>
          </w:p>
          <w:p w14:paraId="7AF41504"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Retningslinjer jvf. Eksamensordning kap. 3.1</w:t>
            </w:r>
          </w:p>
          <w:p w14:paraId="00D7308B" w14:textId="77777777" w:rsidR="005D1620" w:rsidRPr="00983D95" w:rsidRDefault="005D1620" w:rsidP="00A5669F">
            <w:pPr>
              <w:pStyle w:val="Listeafsnit"/>
              <w:numPr>
                <w:ilvl w:val="0"/>
                <w:numId w:val="4"/>
              </w:numPr>
              <w:rPr>
                <w:rFonts w:asciiTheme="minorHAnsi" w:hAnsiTheme="minorHAnsi" w:cs="Arial"/>
                <w:sz w:val="20"/>
                <w:szCs w:val="20"/>
              </w:rPr>
            </w:pPr>
            <w:r w:rsidRPr="00983D95">
              <w:rPr>
                <w:rFonts w:asciiTheme="minorHAnsi" w:hAnsiTheme="minorHAnsi" w:cs="Arial"/>
                <w:sz w:val="20"/>
                <w:szCs w:val="20"/>
              </w:rPr>
              <w:t>3.1.1. Adgang til eksamenslokalet Mundtlige prøver er offentlige, jf. dog undtagelserne nedenfor.</w:t>
            </w:r>
          </w:p>
          <w:p w14:paraId="5A6E0229" w14:textId="77777777" w:rsidR="005D1620" w:rsidRPr="009C35EF" w:rsidRDefault="005D1620" w:rsidP="00A5669F">
            <w:pPr>
              <w:pStyle w:val="Listeafsnit"/>
              <w:numPr>
                <w:ilvl w:val="0"/>
                <w:numId w:val="4"/>
              </w:numPr>
              <w:rPr>
                <w:rFonts w:asciiTheme="minorHAnsi" w:hAnsiTheme="minorHAnsi" w:cs="Arial"/>
                <w:sz w:val="20"/>
                <w:szCs w:val="20"/>
              </w:rPr>
            </w:pPr>
            <w:r w:rsidRPr="00983D95">
              <w:rPr>
                <w:rFonts w:asciiTheme="minorHAnsi" w:hAnsiTheme="minorHAnsi" w:cs="Arial"/>
                <w:sz w:val="20"/>
                <w:szCs w:val="20"/>
              </w:rPr>
              <w:t>Studienævnet kan begrænse adgangen til lokalet af pladsmæssige grunde eller i tilfælde, hvor hensynet til den studerende eller eventuelle underskrevne aftaler om tavshedspligt taler herfor.</w:t>
            </w:r>
          </w:p>
        </w:tc>
        <w:tc>
          <w:tcPr>
            <w:tcW w:w="2126" w:type="dxa"/>
          </w:tcPr>
          <w:p w14:paraId="4955CB8B" w14:textId="77777777" w:rsidR="005D1620" w:rsidRPr="00983D95" w:rsidRDefault="005D1620" w:rsidP="00A5669F">
            <w:pPr>
              <w:rPr>
                <w:rFonts w:asciiTheme="minorHAnsi" w:hAnsiTheme="minorHAnsi" w:cs="Arial"/>
                <w:szCs w:val="20"/>
              </w:rPr>
            </w:pPr>
          </w:p>
        </w:tc>
        <w:tc>
          <w:tcPr>
            <w:tcW w:w="2178" w:type="dxa"/>
          </w:tcPr>
          <w:p w14:paraId="7B6E60F8"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Godkendelse</w:t>
            </w:r>
          </w:p>
        </w:tc>
        <w:tc>
          <w:tcPr>
            <w:tcW w:w="2152" w:type="dxa"/>
          </w:tcPr>
          <w:p w14:paraId="548B0340"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 xml:space="preserve">Godkendelse i tvivlssager </w:t>
            </w:r>
          </w:p>
          <w:p w14:paraId="7408A383" w14:textId="77777777" w:rsidR="005D1620" w:rsidRPr="00983D95" w:rsidRDefault="005D1620" w:rsidP="00A5669F">
            <w:pPr>
              <w:rPr>
                <w:rFonts w:asciiTheme="minorHAnsi" w:hAnsiTheme="minorHAnsi" w:cs="Arial"/>
                <w:szCs w:val="20"/>
              </w:rPr>
            </w:pPr>
          </w:p>
          <w:p w14:paraId="0A75BCB3"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Afslag</w:t>
            </w:r>
          </w:p>
        </w:tc>
      </w:tr>
      <w:tr w:rsidR="005D1620" w:rsidRPr="00983D95" w14:paraId="406BF304" w14:textId="77777777" w:rsidTr="00552A8E">
        <w:tc>
          <w:tcPr>
            <w:tcW w:w="7196" w:type="dxa"/>
          </w:tcPr>
          <w:p w14:paraId="3AB98643" w14:textId="77777777" w:rsidR="005D1620" w:rsidRPr="00401533" w:rsidRDefault="005D1620" w:rsidP="00A5669F">
            <w:pPr>
              <w:rPr>
                <w:rFonts w:asciiTheme="minorHAnsi" w:hAnsiTheme="minorHAnsi" w:cs="Arial"/>
                <w:szCs w:val="20"/>
                <w:u w:val="single"/>
              </w:rPr>
            </w:pPr>
            <w:r w:rsidRPr="00401533">
              <w:rPr>
                <w:rFonts w:asciiTheme="minorHAnsi" w:hAnsiTheme="minorHAnsi" w:cs="Arial"/>
                <w:szCs w:val="20"/>
                <w:u w:val="single"/>
              </w:rPr>
              <w:t>Dispen</w:t>
            </w:r>
            <w:r w:rsidR="00814C43">
              <w:rPr>
                <w:rFonts w:asciiTheme="minorHAnsi" w:hAnsiTheme="minorHAnsi" w:cs="Arial"/>
                <w:szCs w:val="20"/>
                <w:u w:val="single"/>
              </w:rPr>
              <w:t>s</w:t>
            </w:r>
            <w:r w:rsidRPr="00401533">
              <w:rPr>
                <w:rFonts w:asciiTheme="minorHAnsi" w:hAnsiTheme="minorHAnsi" w:cs="Arial"/>
                <w:szCs w:val="20"/>
                <w:u w:val="single"/>
              </w:rPr>
              <w:t xml:space="preserve">ation fra </w:t>
            </w:r>
            <w:r w:rsidR="00C63CDD">
              <w:rPr>
                <w:rFonts w:asciiTheme="minorHAnsi" w:hAnsiTheme="minorHAnsi" w:cs="Arial"/>
                <w:szCs w:val="20"/>
                <w:u w:val="single"/>
              </w:rPr>
              <w:t>Førsteårsprøven</w:t>
            </w:r>
          </w:p>
          <w:p w14:paraId="7A609386" w14:textId="77777777" w:rsidR="00C63CDD" w:rsidRPr="00401533" w:rsidRDefault="00C63CDD" w:rsidP="00A5669F">
            <w:pPr>
              <w:rPr>
                <w:rFonts w:asciiTheme="minorHAnsi" w:hAnsiTheme="minorHAnsi" w:cs="Arial"/>
                <w:szCs w:val="20"/>
                <w:u w:val="single"/>
              </w:rPr>
            </w:pPr>
          </w:p>
          <w:p w14:paraId="66087E0E" w14:textId="23BE4D22" w:rsidR="005D1620" w:rsidRDefault="005D1620" w:rsidP="00A5669F">
            <w:pPr>
              <w:rPr>
                <w:rFonts w:asciiTheme="minorHAnsi" w:hAnsiTheme="minorHAnsi" w:cs="Arial"/>
                <w:szCs w:val="20"/>
              </w:rPr>
            </w:pPr>
            <w:r w:rsidRPr="00401533">
              <w:rPr>
                <w:rFonts w:asciiTheme="minorHAnsi" w:hAnsiTheme="minorHAnsi" w:cs="Arial"/>
                <w:szCs w:val="20"/>
              </w:rPr>
              <w:t xml:space="preserve">Retningslinjer jvf. </w:t>
            </w:r>
            <w:r w:rsidR="00DE7787">
              <w:rPr>
                <w:rFonts w:asciiTheme="minorHAnsi" w:hAnsiTheme="minorHAnsi" w:cs="Arial"/>
                <w:szCs w:val="20"/>
              </w:rPr>
              <w:t>Fælles regler for tilmelding til undervisning og prøver ved Aalborg Universitet</w:t>
            </w:r>
            <w:r w:rsidR="00C63CDD" w:rsidRPr="00401533">
              <w:rPr>
                <w:rFonts w:asciiTheme="minorHAnsi" w:hAnsiTheme="minorHAnsi" w:cs="Arial"/>
                <w:szCs w:val="20"/>
              </w:rPr>
              <w:t xml:space="preserve"> </w:t>
            </w:r>
            <w:r w:rsidRPr="00401533">
              <w:rPr>
                <w:rFonts w:asciiTheme="minorHAnsi" w:hAnsiTheme="minorHAnsi" w:cs="Arial"/>
                <w:szCs w:val="20"/>
              </w:rPr>
              <w:t xml:space="preserve">kap. </w:t>
            </w:r>
            <w:r w:rsidR="00DE7787">
              <w:rPr>
                <w:rFonts w:asciiTheme="minorHAnsi" w:hAnsiTheme="minorHAnsi" w:cs="Arial"/>
                <w:szCs w:val="20"/>
              </w:rPr>
              <w:t>11</w:t>
            </w:r>
          </w:p>
          <w:p w14:paraId="1E1B7FEA" w14:textId="77777777" w:rsidR="00DE7787" w:rsidRPr="00DE7787" w:rsidRDefault="00DE7787" w:rsidP="00DE7787">
            <w:pPr>
              <w:pStyle w:val="Listeafsnit"/>
              <w:numPr>
                <w:ilvl w:val="0"/>
                <w:numId w:val="12"/>
              </w:numPr>
              <w:rPr>
                <w:rFonts w:asciiTheme="minorHAnsi" w:hAnsiTheme="minorHAnsi" w:cs="Arial"/>
                <w:sz w:val="20"/>
                <w:szCs w:val="20"/>
              </w:rPr>
            </w:pPr>
            <w:r w:rsidRPr="00DE7787">
              <w:rPr>
                <w:rFonts w:asciiTheme="minorHAnsi" w:hAnsiTheme="minorHAnsi" w:cs="Arial"/>
                <w:sz w:val="20"/>
                <w:szCs w:val="20"/>
              </w:rPr>
              <w:t>Kapitel 11: Førsteårsprøven</w:t>
            </w:r>
          </w:p>
          <w:p w14:paraId="454A01F1" w14:textId="2CA350F7" w:rsidR="00DE7787" w:rsidRPr="00DE7787" w:rsidRDefault="00DE7787" w:rsidP="00DE7787">
            <w:pPr>
              <w:pStyle w:val="Listeafsnit"/>
              <w:numPr>
                <w:ilvl w:val="0"/>
                <w:numId w:val="12"/>
              </w:numPr>
              <w:rPr>
                <w:rFonts w:asciiTheme="minorHAnsi" w:hAnsiTheme="minorHAnsi" w:cs="Arial"/>
                <w:sz w:val="20"/>
                <w:szCs w:val="20"/>
              </w:rPr>
            </w:pPr>
            <w:r w:rsidRPr="00DE7787">
              <w:rPr>
                <w:rFonts w:asciiTheme="minorHAnsi" w:hAnsiTheme="minorHAnsi" w:cs="Arial"/>
                <w:sz w:val="20"/>
                <w:szCs w:val="20"/>
              </w:rPr>
              <w:t>§ 17. Studerende på første studieår af en bacheloruddannelse eller en professionsbacheloruddannelse</w:t>
            </w:r>
            <w:r>
              <w:rPr>
                <w:rFonts w:asciiTheme="minorHAnsi" w:hAnsiTheme="minorHAnsi" w:cs="Arial"/>
                <w:sz w:val="20"/>
                <w:szCs w:val="20"/>
              </w:rPr>
              <w:t xml:space="preserve"> </w:t>
            </w:r>
            <w:r w:rsidRPr="00DE7787">
              <w:rPr>
                <w:rFonts w:asciiTheme="minorHAnsi" w:hAnsiTheme="minorHAnsi" w:cs="Arial"/>
                <w:sz w:val="20"/>
                <w:szCs w:val="20"/>
              </w:rPr>
              <w:t>skal deltage i minimum en prøve i hvert modul på 1. og 2. semester inden udgangen af første studieår.</w:t>
            </w:r>
          </w:p>
          <w:p w14:paraId="43394FE5" w14:textId="77777777" w:rsidR="00DE7787" w:rsidRPr="00DE7787" w:rsidRDefault="00DE7787" w:rsidP="00DE7787">
            <w:pPr>
              <w:pStyle w:val="Listeafsnit"/>
              <w:numPr>
                <w:ilvl w:val="0"/>
                <w:numId w:val="12"/>
              </w:numPr>
              <w:rPr>
                <w:rFonts w:asciiTheme="minorHAnsi" w:hAnsiTheme="minorHAnsi" w:cs="Arial"/>
                <w:sz w:val="20"/>
                <w:szCs w:val="20"/>
              </w:rPr>
            </w:pPr>
            <w:r w:rsidRPr="00DE7787">
              <w:rPr>
                <w:rFonts w:asciiTheme="minorHAnsi" w:hAnsiTheme="minorHAnsi" w:cs="Arial"/>
                <w:sz w:val="20"/>
                <w:szCs w:val="20"/>
              </w:rPr>
              <w:t xml:space="preserve">Stk. 2. Såfremt den studerende ikke deltager i minimum en prøve i hvert modul inden udgangen af første studieår, vil den studerende blive udskrevet af </w:t>
            </w:r>
            <w:r w:rsidRPr="00DE7787">
              <w:rPr>
                <w:rFonts w:asciiTheme="minorHAnsi" w:hAnsiTheme="minorHAnsi" w:cs="Arial"/>
                <w:sz w:val="20"/>
                <w:szCs w:val="20"/>
              </w:rPr>
              <w:lastRenderedPageBreak/>
              <w:t>Universitetet, jf. dog stk. 3.</w:t>
            </w:r>
          </w:p>
          <w:p w14:paraId="08BAD9C3" w14:textId="77777777" w:rsidR="00DE7787" w:rsidRPr="00DE7787" w:rsidRDefault="00DE7787" w:rsidP="00DE7787">
            <w:pPr>
              <w:pStyle w:val="Listeafsnit"/>
              <w:numPr>
                <w:ilvl w:val="0"/>
                <w:numId w:val="12"/>
              </w:numPr>
              <w:rPr>
                <w:rFonts w:asciiTheme="minorHAnsi" w:hAnsiTheme="minorHAnsi" w:cs="Arial"/>
                <w:sz w:val="20"/>
                <w:szCs w:val="20"/>
              </w:rPr>
            </w:pPr>
            <w:r w:rsidRPr="00DE7787">
              <w:rPr>
                <w:rFonts w:asciiTheme="minorHAnsi" w:hAnsiTheme="minorHAnsi" w:cs="Arial"/>
                <w:sz w:val="20"/>
                <w:szCs w:val="20"/>
              </w:rPr>
              <w:t>Stk. 3. Universitetet kan dispensere fra tidsfristerne i stk. 1, hvis der foreligger usædvanlige forhold.</w:t>
            </w:r>
          </w:p>
          <w:p w14:paraId="0340D1F4" w14:textId="77777777" w:rsidR="00DE7787" w:rsidRPr="00DE7787" w:rsidRDefault="00DE7787" w:rsidP="00DE7787">
            <w:pPr>
              <w:pStyle w:val="Listeafsnit"/>
              <w:numPr>
                <w:ilvl w:val="0"/>
                <w:numId w:val="12"/>
              </w:numPr>
              <w:rPr>
                <w:rFonts w:asciiTheme="minorHAnsi" w:hAnsiTheme="minorHAnsi" w:cs="Arial"/>
                <w:sz w:val="20"/>
                <w:szCs w:val="20"/>
              </w:rPr>
            </w:pPr>
            <w:r w:rsidRPr="00DE7787">
              <w:rPr>
                <w:rFonts w:asciiTheme="minorHAnsi" w:hAnsiTheme="minorHAnsi" w:cs="Arial"/>
                <w:sz w:val="20"/>
                <w:szCs w:val="20"/>
              </w:rPr>
              <w:t>§ 18. Prøverne på første studieår skal være bestået senest ved udgangen af andet studieår.</w:t>
            </w:r>
          </w:p>
          <w:p w14:paraId="23E3F634" w14:textId="05AF9EBD" w:rsidR="00DE7787" w:rsidRPr="00DE7787" w:rsidRDefault="00DE7787" w:rsidP="00DE7787">
            <w:pPr>
              <w:pStyle w:val="Listeafsnit"/>
              <w:numPr>
                <w:ilvl w:val="0"/>
                <w:numId w:val="12"/>
              </w:numPr>
              <w:rPr>
                <w:rFonts w:asciiTheme="minorHAnsi" w:hAnsiTheme="minorHAnsi" w:cs="Arial"/>
                <w:sz w:val="20"/>
                <w:szCs w:val="20"/>
              </w:rPr>
            </w:pPr>
            <w:r w:rsidRPr="00DE7787">
              <w:rPr>
                <w:rFonts w:asciiTheme="minorHAnsi" w:hAnsiTheme="minorHAnsi" w:cs="Arial"/>
                <w:sz w:val="20"/>
                <w:szCs w:val="20"/>
              </w:rPr>
              <w:t>Stk. 2. Såfremt den studerende ikke består alle prøver senest ved udgangen af andet studieår, vil den studerende blive udskrevet af uddannelsen, jf. dog stk. 3.</w:t>
            </w:r>
          </w:p>
          <w:p w14:paraId="33EF054D" w14:textId="7B68EE32" w:rsidR="005D1620" w:rsidRPr="00401533" w:rsidRDefault="00DE7787" w:rsidP="00DE7787">
            <w:pPr>
              <w:pStyle w:val="Listeafsnit"/>
              <w:numPr>
                <w:ilvl w:val="0"/>
                <w:numId w:val="12"/>
              </w:numPr>
              <w:rPr>
                <w:rFonts w:asciiTheme="minorHAnsi" w:hAnsiTheme="minorHAnsi" w:cs="Arial"/>
                <w:sz w:val="20"/>
                <w:szCs w:val="20"/>
                <w:u w:val="single"/>
              </w:rPr>
            </w:pPr>
            <w:r w:rsidRPr="00DE7787">
              <w:rPr>
                <w:rFonts w:asciiTheme="minorHAnsi" w:hAnsiTheme="minorHAnsi" w:cs="Arial"/>
                <w:sz w:val="20"/>
                <w:szCs w:val="20"/>
              </w:rPr>
              <w:t>Stk. 3. Universitetet kan dispensere fra tidsfristerne i stk. 1, hvis der foreligger usædvanlige forhold.</w:t>
            </w:r>
            <w:r w:rsidR="005D1620" w:rsidRPr="00401533">
              <w:rPr>
                <w:rFonts w:asciiTheme="minorHAnsi" w:hAnsiTheme="minorHAnsi" w:cs="Arial"/>
                <w:sz w:val="20"/>
                <w:szCs w:val="20"/>
              </w:rPr>
              <w:t xml:space="preserve"> </w:t>
            </w:r>
          </w:p>
        </w:tc>
        <w:tc>
          <w:tcPr>
            <w:tcW w:w="2126" w:type="dxa"/>
          </w:tcPr>
          <w:p w14:paraId="73AB2633" w14:textId="77777777" w:rsidR="005D1620" w:rsidRPr="00983D95" w:rsidRDefault="005D1620" w:rsidP="00A5669F">
            <w:pPr>
              <w:rPr>
                <w:rFonts w:asciiTheme="minorHAnsi" w:hAnsiTheme="minorHAnsi" w:cs="Arial"/>
                <w:szCs w:val="20"/>
              </w:rPr>
            </w:pPr>
          </w:p>
        </w:tc>
        <w:tc>
          <w:tcPr>
            <w:tcW w:w="2178" w:type="dxa"/>
          </w:tcPr>
          <w:p w14:paraId="07E55A75" w14:textId="77777777" w:rsidR="005D1620" w:rsidRPr="00983D95" w:rsidRDefault="005D1620" w:rsidP="00A5669F">
            <w:pPr>
              <w:rPr>
                <w:rFonts w:asciiTheme="minorHAnsi" w:hAnsiTheme="minorHAnsi" w:cs="Arial"/>
                <w:szCs w:val="20"/>
              </w:rPr>
            </w:pPr>
            <w:r w:rsidRPr="00983D95">
              <w:rPr>
                <w:rFonts w:asciiTheme="minorHAnsi" w:hAnsiTheme="minorHAnsi" w:cs="Arial"/>
                <w:szCs w:val="20"/>
              </w:rPr>
              <w:t>Afgørelse træffes evt. i samråd med SN-medlem fra berørte sektion</w:t>
            </w:r>
          </w:p>
        </w:tc>
        <w:tc>
          <w:tcPr>
            <w:tcW w:w="2152" w:type="dxa"/>
          </w:tcPr>
          <w:p w14:paraId="04CBEB96" w14:textId="77777777" w:rsidR="005D1620" w:rsidRPr="00401533" w:rsidRDefault="005D1620" w:rsidP="00A5669F">
            <w:pPr>
              <w:rPr>
                <w:rFonts w:asciiTheme="minorHAnsi" w:hAnsiTheme="minorHAnsi" w:cs="Arial"/>
                <w:szCs w:val="20"/>
              </w:rPr>
            </w:pPr>
            <w:r w:rsidRPr="00401533">
              <w:rPr>
                <w:rFonts w:asciiTheme="minorHAnsi" w:hAnsiTheme="minorHAnsi" w:cs="Arial"/>
                <w:szCs w:val="20"/>
              </w:rPr>
              <w:t>Afgørelser, hvor der er uenighed eller usikkerhed</w:t>
            </w:r>
          </w:p>
          <w:p w14:paraId="1E198BFF" w14:textId="77777777" w:rsidR="005D1620" w:rsidRPr="00401533" w:rsidRDefault="005D1620" w:rsidP="00A5669F">
            <w:pPr>
              <w:rPr>
                <w:rFonts w:asciiTheme="minorHAnsi" w:hAnsiTheme="minorHAnsi" w:cs="Arial"/>
                <w:szCs w:val="20"/>
              </w:rPr>
            </w:pPr>
          </w:p>
          <w:p w14:paraId="551C7972" w14:textId="77777777" w:rsidR="005D1620" w:rsidRPr="00983D95" w:rsidRDefault="005D1620" w:rsidP="00A5669F">
            <w:pPr>
              <w:rPr>
                <w:rFonts w:asciiTheme="minorHAnsi" w:hAnsiTheme="minorHAnsi" w:cs="Arial"/>
                <w:szCs w:val="20"/>
              </w:rPr>
            </w:pPr>
            <w:r w:rsidRPr="00401533">
              <w:rPr>
                <w:rFonts w:asciiTheme="minorHAnsi" w:hAnsiTheme="minorHAnsi" w:cs="Arial"/>
                <w:szCs w:val="20"/>
              </w:rPr>
              <w:t>Afslag</w:t>
            </w:r>
          </w:p>
        </w:tc>
      </w:tr>
      <w:tr w:rsidR="00F4371E" w:rsidRPr="00983D95" w14:paraId="34BE5D78" w14:textId="77777777" w:rsidTr="00552A8E">
        <w:tc>
          <w:tcPr>
            <w:tcW w:w="7196" w:type="dxa"/>
          </w:tcPr>
          <w:p w14:paraId="26D46AEA" w14:textId="77777777" w:rsidR="00F4371E" w:rsidRPr="00020AB2" w:rsidRDefault="00F4371E" w:rsidP="00A5669F">
            <w:pPr>
              <w:rPr>
                <w:rFonts w:asciiTheme="minorHAnsi" w:hAnsiTheme="minorHAnsi" w:cs="Arial"/>
                <w:szCs w:val="20"/>
                <w:u w:val="single"/>
              </w:rPr>
            </w:pPr>
            <w:r w:rsidRPr="00020AB2">
              <w:rPr>
                <w:rFonts w:asciiTheme="minorHAnsi" w:hAnsiTheme="minorHAnsi" w:cs="Arial"/>
                <w:szCs w:val="20"/>
                <w:u w:val="single"/>
              </w:rPr>
              <w:t>Afmelding fra prøver</w:t>
            </w:r>
          </w:p>
          <w:p w14:paraId="3E1657CB" w14:textId="77777777" w:rsidR="00F4371E" w:rsidRPr="0080699A" w:rsidRDefault="00F4371E" w:rsidP="00A5669F">
            <w:pPr>
              <w:rPr>
                <w:rFonts w:asciiTheme="minorHAnsi" w:hAnsiTheme="minorHAnsi" w:cs="Arial"/>
                <w:szCs w:val="20"/>
              </w:rPr>
            </w:pPr>
          </w:p>
          <w:p w14:paraId="7A32D6D7" w14:textId="37A64A7A" w:rsidR="00F4371E" w:rsidRPr="00536BE5" w:rsidRDefault="00F4371E" w:rsidP="00A5669F">
            <w:pPr>
              <w:rPr>
                <w:rFonts w:asciiTheme="minorHAnsi" w:hAnsiTheme="minorHAnsi" w:cs="Arial"/>
                <w:szCs w:val="20"/>
              </w:rPr>
            </w:pPr>
            <w:r w:rsidRPr="00536BE5">
              <w:rPr>
                <w:rFonts w:asciiTheme="minorHAnsi" w:hAnsiTheme="minorHAnsi" w:cs="Arial"/>
                <w:szCs w:val="20"/>
              </w:rPr>
              <w:t>Retningslinjer jvf. Eksamensordning kap. 2.</w:t>
            </w:r>
            <w:r w:rsidR="00536BE5" w:rsidRPr="00536BE5">
              <w:rPr>
                <w:rFonts w:asciiTheme="minorHAnsi" w:hAnsiTheme="minorHAnsi" w:cs="Arial"/>
                <w:szCs w:val="20"/>
              </w:rPr>
              <w:t>1.</w:t>
            </w:r>
            <w:r w:rsidRPr="00536BE5">
              <w:rPr>
                <w:rFonts w:asciiTheme="minorHAnsi" w:hAnsiTheme="minorHAnsi" w:cs="Arial"/>
                <w:szCs w:val="20"/>
              </w:rPr>
              <w:t>2</w:t>
            </w:r>
            <w:r w:rsidR="00536BE5" w:rsidRPr="00536BE5">
              <w:rPr>
                <w:rFonts w:asciiTheme="minorHAnsi" w:hAnsiTheme="minorHAnsi" w:cs="Arial"/>
                <w:szCs w:val="20"/>
              </w:rPr>
              <w:t xml:space="preserve">, </w:t>
            </w:r>
            <w:r w:rsidRPr="00536BE5">
              <w:rPr>
                <w:rFonts w:asciiTheme="minorHAnsi" w:hAnsiTheme="minorHAnsi" w:cs="Arial"/>
                <w:szCs w:val="20"/>
              </w:rPr>
              <w:t>2.</w:t>
            </w:r>
            <w:r w:rsidR="00536BE5" w:rsidRPr="00536BE5">
              <w:rPr>
                <w:rFonts w:asciiTheme="minorHAnsi" w:hAnsiTheme="minorHAnsi" w:cs="Arial"/>
                <w:szCs w:val="20"/>
              </w:rPr>
              <w:t>1.</w:t>
            </w:r>
            <w:r w:rsidRPr="00536BE5">
              <w:rPr>
                <w:rFonts w:asciiTheme="minorHAnsi" w:hAnsiTheme="minorHAnsi" w:cs="Arial"/>
                <w:szCs w:val="20"/>
              </w:rPr>
              <w:t>3</w:t>
            </w:r>
            <w:r w:rsidR="00536BE5" w:rsidRPr="00536BE5">
              <w:rPr>
                <w:rFonts w:asciiTheme="minorHAnsi" w:hAnsiTheme="minorHAnsi" w:cs="Arial"/>
                <w:szCs w:val="20"/>
              </w:rPr>
              <w:t xml:space="preserve"> og 2.3</w:t>
            </w:r>
          </w:p>
          <w:p w14:paraId="0183F5C7" w14:textId="77777777" w:rsidR="00536BE5" w:rsidRPr="00536BE5" w:rsidRDefault="00536BE5" w:rsidP="00A5669F">
            <w:pPr>
              <w:rPr>
                <w:rFonts w:asciiTheme="minorHAnsi" w:hAnsiTheme="minorHAnsi" w:cs="Arial"/>
                <w:szCs w:val="20"/>
              </w:rPr>
            </w:pPr>
          </w:p>
          <w:p w14:paraId="1D628F7F" w14:textId="6C63B0ED" w:rsidR="00536BE5" w:rsidRPr="00536BE5" w:rsidRDefault="00536BE5" w:rsidP="007D4930">
            <w:pPr>
              <w:pStyle w:val="Listeafsnit"/>
              <w:ind w:left="360"/>
              <w:rPr>
                <w:rFonts w:asciiTheme="minorHAnsi" w:hAnsiTheme="minorHAnsi" w:cs="Arial"/>
                <w:sz w:val="20"/>
                <w:szCs w:val="20"/>
              </w:rPr>
            </w:pPr>
            <w:r w:rsidRPr="00536BE5">
              <w:rPr>
                <w:rFonts w:asciiTheme="minorHAnsi" w:hAnsiTheme="minorHAnsi" w:cs="Arial"/>
                <w:sz w:val="20"/>
                <w:szCs w:val="20"/>
              </w:rPr>
              <w:t>2.1.2 Afmelding fra ordinære prøver</w:t>
            </w:r>
          </w:p>
          <w:p w14:paraId="360BA48C" w14:textId="179422DD"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For studerende, som er indskrevet på en heltidsuddannelse, er det muligt at afmelde sig 1. prøveforsøg, hvis dette gøres inden udløb af eftertilmeldingsperioden. Efter eftertilmeldingsperiodens udløb er tilmeldingen bindende, og modulet kan derefter ikke erstattes af andre elementer, uanset om modulet er valgfrit eller obligatorisk.</w:t>
            </w:r>
          </w:p>
          <w:p w14:paraId="3BED4A51" w14:textId="286B1003"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Studerende på første studieår af en bachelor- eller professionsbacheloruddannelse, studerende, der udelukkende mangler kandidatuddannelsens specialesemester, samt studerende på uddannelser, der er varslet lukket eller sat i bero, kan ikke afmelde sig 1. prøveforsøg.</w:t>
            </w:r>
          </w:p>
          <w:p w14:paraId="55BDDADC" w14:textId="15A0BD1A" w:rsidR="00F4371E"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Studienævnet kan dispensere fra reglerne om til- og afmelding, hvis den studerende er elitesportsudøver, hvis den studerende har en funktionsnedsættelse eller hvis der foreligger usædvanlige forhold, jf. afsnit 2.3.</w:t>
            </w:r>
          </w:p>
          <w:p w14:paraId="52835600" w14:textId="77777777" w:rsidR="00536BE5" w:rsidRPr="00536BE5" w:rsidRDefault="00536BE5" w:rsidP="00536BE5">
            <w:pPr>
              <w:pStyle w:val="Listeafsnit"/>
              <w:ind w:left="360"/>
              <w:rPr>
                <w:rFonts w:asciiTheme="minorHAnsi" w:hAnsiTheme="minorHAnsi" w:cs="Arial"/>
                <w:sz w:val="20"/>
                <w:szCs w:val="20"/>
              </w:rPr>
            </w:pPr>
          </w:p>
          <w:p w14:paraId="017BE343" w14:textId="7AC041DB" w:rsidR="00536BE5" w:rsidRPr="00536BE5" w:rsidRDefault="00536BE5" w:rsidP="007D4930">
            <w:pPr>
              <w:pStyle w:val="Listeafsnit"/>
              <w:ind w:left="360"/>
              <w:rPr>
                <w:rFonts w:asciiTheme="minorHAnsi" w:hAnsiTheme="minorHAnsi" w:cs="Arial"/>
                <w:sz w:val="20"/>
                <w:szCs w:val="20"/>
              </w:rPr>
            </w:pPr>
            <w:r w:rsidRPr="00536BE5">
              <w:rPr>
                <w:rFonts w:asciiTheme="minorHAnsi" w:hAnsiTheme="minorHAnsi" w:cs="Arial"/>
                <w:sz w:val="20"/>
                <w:szCs w:val="20"/>
              </w:rPr>
              <w:t>2.1.3 Afmelding fra reeksamen</w:t>
            </w:r>
          </w:p>
          <w:p w14:paraId="1606BA8B" w14:textId="5E9C1C99"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For studerende, der skal aflægge 2. og 3. prøveforsøg, samt studerende under deltidsbekendtgørelsen, kan der ske afmelding fra prøver senest kl. 12.00 fem hverdage før dagen for prøvens afholdelse (for projekteksaminer, bachelorprojekter, kandidatspecialer og masterprojekter betragtes prøvens begyndelsestidspunkt som tidspunktet for afleveringen af den skriftlige rapport).</w:t>
            </w:r>
          </w:p>
          <w:p w14:paraId="79579360" w14:textId="1CD3B3C3"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 xml:space="preserve">Studerende, der ikke består 1. prøveforsøg i kandidatspecialet, tilmeldes </w:t>
            </w:r>
            <w:r w:rsidRPr="00536BE5">
              <w:rPr>
                <w:rFonts w:asciiTheme="minorHAnsi" w:hAnsiTheme="minorHAnsi" w:cs="Arial"/>
                <w:sz w:val="20"/>
                <w:szCs w:val="20"/>
              </w:rPr>
              <w:lastRenderedPageBreak/>
              <w:t>automatisk 2. prøveforsøg og kan ikke afmelde sig. Det samme gælder, hvis den studerende ikke består 2. prøveforsøg i kandidatspecialet.</w:t>
            </w:r>
          </w:p>
          <w:p w14:paraId="1E435B7F" w14:textId="25C09EBB"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Studerende på uddannelser, der er varslet lukket eller sat i bero, og som ikke består 1. prøveforsøg, tilmeldes automatisk til 2. prøveforsøg og kan ikke afmelde sig. Det samme gælder, hvis den studerende ikke består 2. prøveforsøg.</w:t>
            </w:r>
          </w:p>
          <w:p w14:paraId="0F6A4498" w14:textId="5EBF0081"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Prøver hvor bedømmelsen sker på baggrund af aktiv deltagelse eller anden form for løbende evaluering kan ikke afmeldes.</w:t>
            </w:r>
          </w:p>
          <w:p w14:paraId="3C5DB822" w14:textId="00B59B96" w:rsidR="00536BE5" w:rsidRPr="007D4930" w:rsidRDefault="00536BE5" w:rsidP="007D4930">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Afmelding skal meddeles skriftligt til studiesekretæren eller efter studienævnets anvisninger. Der kan imidlertid ikke ske afmelding fra en mundtlig prøve med baggrund i et skriftligt materiale, når det skriftlige</w:t>
            </w:r>
            <w:r w:rsidR="007D4930">
              <w:rPr>
                <w:rFonts w:asciiTheme="minorHAnsi" w:hAnsiTheme="minorHAnsi" w:cs="Arial"/>
                <w:sz w:val="20"/>
                <w:szCs w:val="20"/>
              </w:rPr>
              <w:t xml:space="preserve"> </w:t>
            </w:r>
            <w:r w:rsidRPr="007D4930">
              <w:rPr>
                <w:rFonts w:asciiTheme="minorHAnsi" w:hAnsiTheme="minorHAnsi" w:cs="Arial"/>
                <w:sz w:val="20"/>
                <w:szCs w:val="20"/>
              </w:rPr>
              <w:t>materiale er afleveret.</w:t>
            </w:r>
          </w:p>
          <w:p w14:paraId="4078C761" w14:textId="77777777" w:rsidR="00536BE5" w:rsidRPr="00536BE5" w:rsidRDefault="00536BE5" w:rsidP="00536BE5">
            <w:pPr>
              <w:pStyle w:val="Listeafsnit"/>
              <w:ind w:left="360"/>
              <w:rPr>
                <w:rFonts w:asciiTheme="minorHAnsi" w:hAnsiTheme="minorHAnsi" w:cs="Arial"/>
                <w:sz w:val="20"/>
                <w:szCs w:val="20"/>
              </w:rPr>
            </w:pPr>
          </w:p>
          <w:p w14:paraId="73774F1D" w14:textId="613B4EE8" w:rsidR="00536BE5" w:rsidRPr="00536BE5" w:rsidRDefault="00536BE5" w:rsidP="007D4930">
            <w:pPr>
              <w:pStyle w:val="Listeafsnit"/>
              <w:ind w:left="360"/>
              <w:rPr>
                <w:rFonts w:asciiTheme="minorHAnsi" w:hAnsiTheme="minorHAnsi" w:cs="Arial"/>
                <w:sz w:val="20"/>
                <w:szCs w:val="20"/>
              </w:rPr>
            </w:pPr>
            <w:r w:rsidRPr="00536BE5">
              <w:rPr>
                <w:rFonts w:asciiTheme="minorHAnsi" w:hAnsiTheme="minorHAnsi" w:cs="Arial"/>
                <w:sz w:val="20"/>
                <w:szCs w:val="20"/>
              </w:rPr>
              <w:t>2.3 Dispensation</w:t>
            </w:r>
          </w:p>
          <w:p w14:paraId="43230BBD" w14:textId="77777777"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Studienævnet kan dispensere fra reglerne vedrørende til- og afmelding, såfremt den studerende er elitesportsudøver, den studerende har en funktionsnedsættelse, eller der foreligger usædvanlige forhold.</w:t>
            </w:r>
          </w:p>
          <w:p w14:paraId="5F092D23" w14:textId="47F294AB"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Der kan under normale omstændigheder ikke gives dispensation efter det tidspunkt, hvor prøven skulle være påbegyndt.</w:t>
            </w:r>
          </w:p>
          <w:p w14:paraId="1B163F34" w14:textId="2E68E3CF"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Ved aflevering af projekteksaminer, bachelorprojekt, kandidatspeciale eller masterprojekt kan studienævnet dispensere fra afleveringsfristen i stedet for at afmelde den studerende fra prøven. Studienævnet kan give denne form for dispensation, hvis der foreligger usædvanlige forhold, og studienævnet samtidig vurderer, at en forlænget frist er mere hensigtsmæssig end afmelding fra eksamen.</w:t>
            </w:r>
          </w:p>
          <w:p w14:paraId="435965DE" w14:textId="436EE694" w:rsidR="00536BE5" w:rsidRPr="00536BE5" w:rsidRDefault="00536BE5" w:rsidP="00536BE5">
            <w:pPr>
              <w:pStyle w:val="Listeafsnit"/>
              <w:numPr>
                <w:ilvl w:val="0"/>
                <w:numId w:val="17"/>
              </w:numPr>
              <w:rPr>
                <w:rFonts w:asciiTheme="minorHAnsi" w:hAnsiTheme="minorHAnsi" w:cs="Arial"/>
                <w:sz w:val="20"/>
                <w:szCs w:val="20"/>
              </w:rPr>
            </w:pPr>
            <w:r w:rsidRPr="00536BE5">
              <w:rPr>
                <w:rFonts w:asciiTheme="minorHAnsi" w:hAnsiTheme="minorHAnsi" w:cs="Arial"/>
                <w:sz w:val="20"/>
                <w:szCs w:val="20"/>
              </w:rPr>
              <w:t>Gives der dispensation efter ovenstående bestemmelser, orienteres studielederen og studiesekretæren samt den eller de personer på instituttet, som har ansvaret for at foretage til- og afmelding til prøver</w:t>
            </w:r>
            <w:r>
              <w:rPr>
                <w:rFonts w:asciiTheme="minorHAnsi" w:hAnsiTheme="minorHAnsi" w:cs="Arial"/>
                <w:sz w:val="20"/>
                <w:szCs w:val="20"/>
              </w:rPr>
              <w:t>.</w:t>
            </w:r>
          </w:p>
          <w:p w14:paraId="6F82142B" w14:textId="77777777" w:rsidR="00F4371E" w:rsidRPr="00020AB2" w:rsidRDefault="00F4371E" w:rsidP="00A5669F">
            <w:pPr>
              <w:rPr>
                <w:rFonts w:asciiTheme="minorHAnsi" w:hAnsiTheme="minorHAnsi" w:cs="Arial"/>
                <w:szCs w:val="20"/>
                <w:u w:val="single"/>
              </w:rPr>
            </w:pPr>
          </w:p>
        </w:tc>
        <w:tc>
          <w:tcPr>
            <w:tcW w:w="2126" w:type="dxa"/>
          </w:tcPr>
          <w:p w14:paraId="6C4CA530" w14:textId="77777777" w:rsidR="00F4371E" w:rsidRPr="00983D95" w:rsidRDefault="00F4371E" w:rsidP="00A5669F">
            <w:pPr>
              <w:rPr>
                <w:rFonts w:asciiTheme="minorHAnsi" w:hAnsiTheme="minorHAnsi" w:cs="Arial"/>
                <w:szCs w:val="20"/>
              </w:rPr>
            </w:pPr>
          </w:p>
        </w:tc>
        <w:tc>
          <w:tcPr>
            <w:tcW w:w="2178" w:type="dxa"/>
          </w:tcPr>
          <w:p w14:paraId="536A0E1C" w14:textId="77777777" w:rsidR="00F4371E" w:rsidRPr="00983D95" w:rsidRDefault="00667D6C" w:rsidP="00A5669F">
            <w:pPr>
              <w:rPr>
                <w:rFonts w:asciiTheme="minorHAnsi" w:hAnsiTheme="minorHAnsi" w:cs="Arial"/>
                <w:szCs w:val="20"/>
              </w:rPr>
            </w:pPr>
            <w:r w:rsidRPr="00667D6C">
              <w:rPr>
                <w:rFonts w:asciiTheme="minorHAnsi" w:hAnsiTheme="minorHAnsi" w:cs="Arial"/>
                <w:szCs w:val="20"/>
              </w:rPr>
              <w:t>Godkendelse samt afgørel</w:t>
            </w:r>
            <w:r w:rsidR="00141379">
              <w:rPr>
                <w:rFonts w:asciiTheme="minorHAnsi" w:hAnsiTheme="minorHAnsi" w:cs="Arial"/>
                <w:szCs w:val="20"/>
              </w:rPr>
              <w:t>ser, hvor det af tidsmæssige år</w:t>
            </w:r>
            <w:r w:rsidRPr="00667D6C">
              <w:rPr>
                <w:rFonts w:asciiTheme="minorHAnsi" w:hAnsiTheme="minorHAnsi" w:cs="Arial"/>
                <w:szCs w:val="20"/>
              </w:rPr>
              <w:t>s</w:t>
            </w:r>
            <w:r w:rsidR="00141379">
              <w:rPr>
                <w:rFonts w:asciiTheme="minorHAnsi" w:hAnsiTheme="minorHAnsi" w:cs="Arial"/>
                <w:szCs w:val="20"/>
              </w:rPr>
              <w:t>a</w:t>
            </w:r>
            <w:r w:rsidRPr="00667D6C">
              <w:rPr>
                <w:rFonts w:asciiTheme="minorHAnsi" w:hAnsiTheme="minorHAnsi" w:cs="Arial"/>
                <w:szCs w:val="20"/>
              </w:rPr>
              <w:t>ger er uhensigtsmæssigt at vente til kommende SN-møde</w:t>
            </w:r>
          </w:p>
        </w:tc>
        <w:tc>
          <w:tcPr>
            <w:tcW w:w="2152" w:type="dxa"/>
          </w:tcPr>
          <w:p w14:paraId="26AC22C3" w14:textId="77777777" w:rsidR="00F4371E" w:rsidRPr="000B3D38" w:rsidRDefault="00F4371E" w:rsidP="000B3D38">
            <w:pPr>
              <w:rPr>
                <w:rFonts w:asciiTheme="minorHAnsi" w:hAnsiTheme="minorHAnsi" w:cs="Arial"/>
                <w:szCs w:val="20"/>
              </w:rPr>
            </w:pPr>
            <w:r>
              <w:rPr>
                <w:rFonts w:asciiTheme="minorHAnsi" w:hAnsiTheme="minorHAnsi" w:cs="Arial"/>
                <w:szCs w:val="20"/>
              </w:rPr>
              <w:t>Afslag</w:t>
            </w:r>
          </w:p>
        </w:tc>
      </w:tr>
      <w:tr w:rsidR="0080699A" w:rsidRPr="00983D95" w14:paraId="792B1557" w14:textId="77777777" w:rsidTr="00552A8E">
        <w:tc>
          <w:tcPr>
            <w:tcW w:w="7196" w:type="dxa"/>
          </w:tcPr>
          <w:p w14:paraId="137F73F6" w14:textId="77777777" w:rsidR="0080699A" w:rsidRPr="00020AB2" w:rsidRDefault="0080699A" w:rsidP="00A5669F">
            <w:pPr>
              <w:rPr>
                <w:rFonts w:asciiTheme="minorHAnsi" w:hAnsiTheme="minorHAnsi" w:cs="Arial"/>
                <w:szCs w:val="20"/>
                <w:u w:val="single"/>
              </w:rPr>
            </w:pPr>
            <w:r w:rsidRPr="00020AB2">
              <w:rPr>
                <w:rFonts w:asciiTheme="minorHAnsi" w:hAnsiTheme="minorHAnsi" w:cs="Arial"/>
                <w:szCs w:val="20"/>
                <w:u w:val="single"/>
              </w:rPr>
              <w:t xml:space="preserve">Dispensation fra </w:t>
            </w:r>
            <w:proofErr w:type="spellStart"/>
            <w:r w:rsidRPr="00020AB2">
              <w:rPr>
                <w:rFonts w:asciiTheme="minorHAnsi" w:hAnsiTheme="minorHAnsi" w:cs="Arial"/>
                <w:szCs w:val="20"/>
                <w:u w:val="single"/>
              </w:rPr>
              <w:t>studieordninger</w:t>
            </w:r>
            <w:proofErr w:type="spellEnd"/>
          </w:p>
          <w:p w14:paraId="1B90573F" w14:textId="77777777" w:rsidR="0080699A" w:rsidRPr="0080699A" w:rsidRDefault="0080699A" w:rsidP="00A5669F">
            <w:pPr>
              <w:rPr>
                <w:rFonts w:asciiTheme="minorHAnsi" w:hAnsiTheme="minorHAnsi" w:cs="Arial"/>
                <w:szCs w:val="20"/>
              </w:rPr>
            </w:pPr>
          </w:p>
          <w:p w14:paraId="0B6FCC2E" w14:textId="77777777" w:rsidR="0080699A" w:rsidRPr="0080699A" w:rsidRDefault="0080699A" w:rsidP="00A5669F">
            <w:pPr>
              <w:rPr>
                <w:rFonts w:asciiTheme="minorHAnsi" w:hAnsiTheme="minorHAnsi" w:cs="Arial"/>
                <w:szCs w:val="20"/>
              </w:rPr>
            </w:pPr>
            <w:r w:rsidRPr="0080699A">
              <w:rPr>
                <w:rFonts w:asciiTheme="minorHAnsi" w:hAnsiTheme="minorHAnsi" w:cs="Arial"/>
                <w:szCs w:val="20"/>
              </w:rPr>
              <w:t>Eksempler</w:t>
            </w:r>
          </w:p>
          <w:p w14:paraId="5AF8AE57" w14:textId="77777777" w:rsidR="0080699A" w:rsidRPr="00667D6C" w:rsidRDefault="0080699A" w:rsidP="00A5669F">
            <w:pPr>
              <w:pStyle w:val="Listeafsnit"/>
              <w:numPr>
                <w:ilvl w:val="0"/>
                <w:numId w:val="5"/>
              </w:numPr>
              <w:rPr>
                <w:rFonts w:asciiTheme="minorHAnsi" w:hAnsiTheme="minorHAnsi" w:cs="Arial"/>
                <w:sz w:val="20"/>
                <w:szCs w:val="20"/>
              </w:rPr>
            </w:pPr>
            <w:r w:rsidRPr="0080699A">
              <w:rPr>
                <w:rFonts w:asciiTheme="minorHAnsi" w:hAnsiTheme="minorHAnsi" w:cs="Arial"/>
                <w:sz w:val="20"/>
                <w:szCs w:val="20"/>
              </w:rPr>
              <w:t>Ændret eksamensform</w:t>
            </w:r>
          </w:p>
          <w:p w14:paraId="11453133" w14:textId="77777777" w:rsidR="0080699A" w:rsidRPr="00020AB2" w:rsidRDefault="0080699A" w:rsidP="00A5669F">
            <w:pPr>
              <w:pStyle w:val="Listeafsnit"/>
              <w:numPr>
                <w:ilvl w:val="0"/>
                <w:numId w:val="5"/>
              </w:numPr>
              <w:rPr>
                <w:rFonts w:asciiTheme="minorHAnsi" w:hAnsiTheme="minorHAnsi" w:cs="Arial"/>
                <w:sz w:val="20"/>
                <w:szCs w:val="20"/>
              </w:rPr>
            </w:pPr>
            <w:r w:rsidRPr="00020AB2">
              <w:rPr>
                <w:rFonts w:asciiTheme="minorHAnsi" w:hAnsiTheme="minorHAnsi" w:cs="Arial"/>
                <w:sz w:val="20"/>
                <w:szCs w:val="20"/>
              </w:rPr>
              <w:t>Ændret bedømmelsesform</w:t>
            </w:r>
          </w:p>
          <w:p w14:paraId="267D3317" w14:textId="77777777" w:rsidR="0080699A" w:rsidRPr="00020AB2" w:rsidRDefault="0080699A" w:rsidP="00A5669F">
            <w:pPr>
              <w:pStyle w:val="Listeafsnit"/>
              <w:numPr>
                <w:ilvl w:val="0"/>
                <w:numId w:val="5"/>
              </w:numPr>
              <w:rPr>
                <w:rFonts w:asciiTheme="minorHAnsi" w:hAnsiTheme="minorHAnsi" w:cs="Arial"/>
                <w:sz w:val="20"/>
                <w:szCs w:val="20"/>
                <w:u w:val="single"/>
              </w:rPr>
            </w:pPr>
            <w:r w:rsidRPr="00020AB2">
              <w:rPr>
                <w:rFonts w:asciiTheme="minorHAnsi" w:hAnsiTheme="minorHAnsi" w:cs="Arial"/>
                <w:sz w:val="20"/>
                <w:szCs w:val="20"/>
              </w:rPr>
              <w:t>Ændret kursusfordeling</w:t>
            </w:r>
          </w:p>
          <w:p w14:paraId="2C1DD0B9" w14:textId="77777777" w:rsidR="0080699A" w:rsidRPr="00020AB2" w:rsidRDefault="0080699A" w:rsidP="00A5669F">
            <w:pPr>
              <w:pStyle w:val="Listeafsnit"/>
              <w:ind w:left="360"/>
              <w:rPr>
                <w:rFonts w:asciiTheme="minorHAnsi" w:hAnsiTheme="minorHAnsi" w:cs="Arial"/>
                <w:sz w:val="20"/>
                <w:szCs w:val="20"/>
                <w:u w:val="single"/>
              </w:rPr>
            </w:pPr>
          </w:p>
        </w:tc>
        <w:tc>
          <w:tcPr>
            <w:tcW w:w="2126" w:type="dxa"/>
          </w:tcPr>
          <w:p w14:paraId="0EDD1B1B" w14:textId="77777777" w:rsidR="0080699A" w:rsidRPr="00983D95" w:rsidRDefault="0080699A" w:rsidP="00A5669F">
            <w:pPr>
              <w:rPr>
                <w:rFonts w:asciiTheme="minorHAnsi" w:hAnsiTheme="minorHAnsi" w:cs="Arial"/>
                <w:szCs w:val="20"/>
              </w:rPr>
            </w:pPr>
          </w:p>
        </w:tc>
        <w:tc>
          <w:tcPr>
            <w:tcW w:w="2178" w:type="dxa"/>
          </w:tcPr>
          <w:p w14:paraId="5365A2BD"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Afgørelse i ansøgninger, hvor det af tidsmæssige års</w:t>
            </w:r>
            <w:r w:rsidR="00220DE2">
              <w:rPr>
                <w:rFonts w:asciiTheme="minorHAnsi" w:hAnsiTheme="minorHAnsi" w:cs="Arial"/>
                <w:szCs w:val="20"/>
              </w:rPr>
              <w:t>a</w:t>
            </w:r>
            <w:r w:rsidRPr="00983D95">
              <w:rPr>
                <w:rFonts w:asciiTheme="minorHAnsi" w:hAnsiTheme="minorHAnsi" w:cs="Arial"/>
                <w:szCs w:val="20"/>
              </w:rPr>
              <w:t>ger er uhensigtsmæssigt at vente til kommende SN-møde</w:t>
            </w:r>
          </w:p>
        </w:tc>
        <w:tc>
          <w:tcPr>
            <w:tcW w:w="2152" w:type="dxa"/>
          </w:tcPr>
          <w:p w14:paraId="7D2114E2"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Afgørelse i alle øvrige sager</w:t>
            </w:r>
          </w:p>
        </w:tc>
      </w:tr>
      <w:tr w:rsidR="0080699A" w:rsidRPr="00983D95" w14:paraId="03F446BD" w14:textId="77777777" w:rsidTr="00552A8E">
        <w:tc>
          <w:tcPr>
            <w:tcW w:w="7196" w:type="dxa"/>
          </w:tcPr>
          <w:p w14:paraId="04DE9289"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lastRenderedPageBreak/>
              <w:t>Forlængelse af projekt-afleverings-tidspunkt</w:t>
            </w:r>
          </w:p>
          <w:p w14:paraId="69A842D8" w14:textId="77777777" w:rsidR="0080699A" w:rsidRPr="00983D95" w:rsidRDefault="0080699A" w:rsidP="00A5669F">
            <w:pPr>
              <w:rPr>
                <w:rFonts w:asciiTheme="minorHAnsi" w:hAnsiTheme="minorHAnsi" w:cs="Arial"/>
                <w:szCs w:val="20"/>
              </w:rPr>
            </w:pPr>
          </w:p>
          <w:p w14:paraId="771957B2"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rPr>
              <w:t xml:space="preserve">Retningslinjer jvf. Eksamensordning kap. </w:t>
            </w:r>
            <w:r>
              <w:rPr>
                <w:rFonts w:asciiTheme="minorHAnsi" w:hAnsiTheme="minorHAnsi" w:cs="Arial"/>
                <w:szCs w:val="20"/>
              </w:rPr>
              <w:t>1.3.</w:t>
            </w:r>
            <w:r w:rsidRPr="00983D95">
              <w:rPr>
                <w:rFonts w:asciiTheme="minorHAnsi" w:hAnsiTheme="minorHAnsi" w:cs="Arial"/>
                <w:szCs w:val="20"/>
              </w:rPr>
              <w:t>2</w:t>
            </w:r>
          </w:p>
          <w:p w14:paraId="224631D7" w14:textId="77777777" w:rsidR="0080699A" w:rsidRPr="00983D95" w:rsidRDefault="0080699A" w:rsidP="00A5669F">
            <w:pPr>
              <w:pStyle w:val="Listeafsnit"/>
              <w:numPr>
                <w:ilvl w:val="0"/>
                <w:numId w:val="6"/>
              </w:numPr>
              <w:rPr>
                <w:rFonts w:asciiTheme="minorHAnsi" w:hAnsiTheme="minorHAnsi" w:cs="Arial"/>
                <w:sz w:val="20"/>
                <w:szCs w:val="20"/>
                <w:u w:val="single"/>
              </w:rPr>
            </w:pPr>
            <w:r w:rsidRPr="000B3D38">
              <w:rPr>
                <w:rFonts w:asciiTheme="minorHAnsi" w:hAnsiTheme="minorHAnsi" w:cs="Arial"/>
                <w:sz w:val="20"/>
                <w:szCs w:val="20"/>
              </w:rPr>
              <w:t>Studienævnet kan, efter ansøgning, dispensere fra den fastsatte afleveringsfrist såfremt der forelig</w:t>
            </w:r>
            <w:r w:rsidRPr="009C35EF">
              <w:rPr>
                <w:rFonts w:asciiTheme="minorHAnsi" w:hAnsiTheme="minorHAnsi" w:cs="Arial"/>
                <w:sz w:val="20"/>
                <w:szCs w:val="20"/>
              </w:rPr>
              <w:t>ger usædvanlige forhold.</w:t>
            </w:r>
          </w:p>
        </w:tc>
        <w:tc>
          <w:tcPr>
            <w:tcW w:w="2126" w:type="dxa"/>
          </w:tcPr>
          <w:p w14:paraId="79F2C76A" w14:textId="77777777" w:rsidR="0080699A" w:rsidRPr="00983D95" w:rsidRDefault="0080699A" w:rsidP="00A5669F">
            <w:pPr>
              <w:rPr>
                <w:rFonts w:asciiTheme="minorHAnsi" w:hAnsiTheme="minorHAnsi" w:cs="Arial"/>
                <w:szCs w:val="20"/>
              </w:rPr>
            </w:pPr>
          </w:p>
        </w:tc>
        <w:tc>
          <w:tcPr>
            <w:tcW w:w="2178" w:type="dxa"/>
          </w:tcPr>
          <w:p w14:paraId="71D92431"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Afgørelse træffes evt. i samråd med SN-medlem fra berørte sektion</w:t>
            </w:r>
          </w:p>
        </w:tc>
        <w:tc>
          <w:tcPr>
            <w:tcW w:w="2152" w:type="dxa"/>
          </w:tcPr>
          <w:p w14:paraId="324E6137" w14:textId="77777777" w:rsidR="0080699A" w:rsidRPr="00983D95" w:rsidRDefault="0080699A" w:rsidP="00A5669F">
            <w:pPr>
              <w:rPr>
                <w:rFonts w:asciiTheme="minorHAnsi" w:hAnsiTheme="minorHAnsi" w:cs="Arial"/>
                <w:szCs w:val="20"/>
              </w:rPr>
            </w:pPr>
          </w:p>
        </w:tc>
      </w:tr>
      <w:tr w:rsidR="0080699A" w:rsidRPr="00983D95" w14:paraId="64DB7881" w14:textId="77777777" w:rsidTr="00552A8E">
        <w:tc>
          <w:tcPr>
            <w:tcW w:w="7196" w:type="dxa"/>
            <w:shd w:val="clear" w:color="auto" w:fill="BFBFBF" w:themeFill="background1" w:themeFillShade="BF"/>
          </w:tcPr>
          <w:p w14:paraId="0AA6EF71" w14:textId="77777777" w:rsidR="0080699A" w:rsidRPr="00983D95" w:rsidRDefault="0080699A" w:rsidP="00A5669F">
            <w:pPr>
              <w:rPr>
                <w:rFonts w:asciiTheme="minorHAnsi" w:hAnsiTheme="minorHAnsi" w:cs="Arial"/>
                <w:szCs w:val="20"/>
              </w:rPr>
            </w:pPr>
          </w:p>
        </w:tc>
        <w:tc>
          <w:tcPr>
            <w:tcW w:w="2126" w:type="dxa"/>
            <w:shd w:val="clear" w:color="auto" w:fill="BFBFBF" w:themeFill="background1" w:themeFillShade="BF"/>
          </w:tcPr>
          <w:p w14:paraId="413C856A" w14:textId="77777777" w:rsidR="0080699A" w:rsidRPr="00983D95" w:rsidRDefault="0080699A" w:rsidP="00A5669F">
            <w:pPr>
              <w:rPr>
                <w:rFonts w:asciiTheme="minorHAnsi" w:hAnsiTheme="minorHAnsi" w:cs="Arial"/>
                <w:szCs w:val="20"/>
              </w:rPr>
            </w:pPr>
          </w:p>
        </w:tc>
        <w:tc>
          <w:tcPr>
            <w:tcW w:w="2178" w:type="dxa"/>
            <w:shd w:val="clear" w:color="auto" w:fill="BFBFBF" w:themeFill="background1" w:themeFillShade="BF"/>
          </w:tcPr>
          <w:p w14:paraId="49D6FDCD" w14:textId="77777777" w:rsidR="0080699A" w:rsidRPr="00983D95" w:rsidRDefault="0080699A" w:rsidP="00A5669F">
            <w:pPr>
              <w:rPr>
                <w:rFonts w:asciiTheme="minorHAnsi" w:hAnsiTheme="minorHAnsi" w:cs="Arial"/>
                <w:szCs w:val="20"/>
              </w:rPr>
            </w:pPr>
          </w:p>
        </w:tc>
        <w:tc>
          <w:tcPr>
            <w:tcW w:w="2152" w:type="dxa"/>
            <w:shd w:val="clear" w:color="auto" w:fill="BFBFBF" w:themeFill="background1" w:themeFillShade="BF"/>
          </w:tcPr>
          <w:p w14:paraId="57D36BCD" w14:textId="77777777" w:rsidR="0080699A" w:rsidRPr="00983D95" w:rsidRDefault="0080699A" w:rsidP="00A5669F">
            <w:pPr>
              <w:rPr>
                <w:rFonts w:asciiTheme="minorHAnsi" w:hAnsiTheme="minorHAnsi" w:cs="Arial"/>
                <w:szCs w:val="20"/>
              </w:rPr>
            </w:pPr>
          </w:p>
        </w:tc>
      </w:tr>
      <w:tr w:rsidR="0080699A" w:rsidRPr="00983D95" w14:paraId="5E73B315" w14:textId="77777777" w:rsidTr="00552A8E">
        <w:tc>
          <w:tcPr>
            <w:tcW w:w="7196" w:type="dxa"/>
          </w:tcPr>
          <w:p w14:paraId="52AACF51" w14:textId="4E9DC901" w:rsidR="0080699A" w:rsidRPr="00983D95" w:rsidRDefault="0080699A" w:rsidP="00A5669F">
            <w:pPr>
              <w:rPr>
                <w:rFonts w:asciiTheme="minorHAnsi" w:hAnsiTheme="minorHAnsi" w:cs="Arial"/>
                <w:b/>
                <w:szCs w:val="20"/>
              </w:rPr>
            </w:pPr>
            <w:r w:rsidRPr="00983D95">
              <w:rPr>
                <w:rFonts w:asciiTheme="minorHAnsi" w:hAnsiTheme="minorHAnsi" w:cs="Arial"/>
                <w:b/>
                <w:szCs w:val="20"/>
              </w:rPr>
              <w:t>Merit, optagelse og studieskift</w:t>
            </w:r>
          </w:p>
        </w:tc>
        <w:tc>
          <w:tcPr>
            <w:tcW w:w="2126" w:type="dxa"/>
          </w:tcPr>
          <w:p w14:paraId="7DE04A30" w14:textId="77777777" w:rsidR="0080699A" w:rsidRPr="00983D95" w:rsidRDefault="0080699A" w:rsidP="00A5669F">
            <w:pPr>
              <w:rPr>
                <w:rFonts w:asciiTheme="minorHAnsi" w:hAnsiTheme="minorHAnsi" w:cs="Arial"/>
                <w:szCs w:val="20"/>
              </w:rPr>
            </w:pPr>
          </w:p>
        </w:tc>
        <w:tc>
          <w:tcPr>
            <w:tcW w:w="2178" w:type="dxa"/>
          </w:tcPr>
          <w:p w14:paraId="208B05A1" w14:textId="77777777" w:rsidR="0080699A" w:rsidRPr="00983D95" w:rsidRDefault="0080699A" w:rsidP="00A5669F">
            <w:pPr>
              <w:rPr>
                <w:rFonts w:asciiTheme="minorHAnsi" w:hAnsiTheme="minorHAnsi" w:cs="Arial"/>
                <w:szCs w:val="20"/>
              </w:rPr>
            </w:pPr>
          </w:p>
        </w:tc>
        <w:tc>
          <w:tcPr>
            <w:tcW w:w="2152" w:type="dxa"/>
          </w:tcPr>
          <w:p w14:paraId="1063C470" w14:textId="77777777" w:rsidR="0080699A" w:rsidRPr="00983D95" w:rsidRDefault="0080699A" w:rsidP="00A5669F">
            <w:pPr>
              <w:rPr>
                <w:rFonts w:asciiTheme="minorHAnsi" w:hAnsiTheme="minorHAnsi" w:cs="Arial"/>
                <w:szCs w:val="20"/>
              </w:rPr>
            </w:pPr>
          </w:p>
        </w:tc>
      </w:tr>
      <w:tr w:rsidR="0080699A" w:rsidRPr="00983D95" w14:paraId="7D25B975" w14:textId="77777777" w:rsidTr="00552A8E">
        <w:tc>
          <w:tcPr>
            <w:tcW w:w="7196" w:type="dxa"/>
          </w:tcPr>
          <w:p w14:paraId="17AA27E4"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Merit for udrejsende AAU-studerende</w:t>
            </w:r>
          </w:p>
          <w:p w14:paraId="75C90195" w14:textId="77777777" w:rsidR="0080699A" w:rsidRPr="00983D95" w:rsidRDefault="0080699A" w:rsidP="00A5669F">
            <w:pPr>
              <w:rPr>
                <w:rFonts w:asciiTheme="minorHAnsi" w:hAnsiTheme="minorHAnsi" w:cs="Arial"/>
                <w:szCs w:val="20"/>
                <w:u w:val="single"/>
              </w:rPr>
            </w:pPr>
          </w:p>
          <w:p w14:paraId="3B4EB454" w14:textId="77777777" w:rsidR="0080699A" w:rsidRDefault="0080699A" w:rsidP="00A5669F">
            <w:pPr>
              <w:rPr>
                <w:rFonts w:asciiTheme="minorHAnsi" w:hAnsiTheme="minorHAnsi" w:cs="Arial"/>
                <w:szCs w:val="20"/>
              </w:rPr>
            </w:pPr>
            <w:r w:rsidRPr="00983D95">
              <w:rPr>
                <w:rFonts w:asciiTheme="minorHAnsi" w:hAnsiTheme="minorHAnsi" w:cs="Arial"/>
                <w:szCs w:val="20"/>
              </w:rPr>
              <w:t>Retningslinjer for tildeling af merit</w:t>
            </w:r>
          </w:p>
          <w:p w14:paraId="5568D674" w14:textId="09A9B90C" w:rsidR="0080699A" w:rsidRPr="00983D95" w:rsidRDefault="00686C80" w:rsidP="00CE582C">
            <w:pPr>
              <w:rPr>
                <w:rFonts w:asciiTheme="minorHAnsi" w:hAnsiTheme="minorHAnsi" w:cs="Arial"/>
                <w:szCs w:val="20"/>
                <w:u w:val="single"/>
              </w:rPr>
            </w:pPr>
            <w:hyperlink r:id="rId12" w:anchor="merit-n%C3%A5r-aau-studerende-er-p%C3%A5-udlandsophold" w:history="1">
              <w:r w:rsidR="00F24459" w:rsidRPr="009452D7">
                <w:rPr>
                  <w:rStyle w:val="Hyperlink"/>
                  <w:rFonts w:asciiTheme="minorHAnsi" w:hAnsiTheme="minorHAnsi" w:cs="Arial"/>
                  <w:szCs w:val="20"/>
                </w:rPr>
                <w:t>https://www.aau.dk/uddannelser/optagelse/indskrivning-studieskift-og-gaestestuderende/merit#merit-n%C3%A5r-aau-studerende-er-p%C3%A5-udlandsophold</w:t>
              </w:r>
            </w:hyperlink>
            <w:r w:rsidR="00F24459">
              <w:rPr>
                <w:rFonts w:asciiTheme="minorHAnsi" w:hAnsiTheme="minorHAnsi" w:cs="Arial"/>
                <w:szCs w:val="20"/>
              </w:rPr>
              <w:t xml:space="preserve"> </w:t>
            </w:r>
          </w:p>
        </w:tc>
        <w:tc>
          <w:tcPr>
            <w:tcW w:w="2126" w:type="dxa"/>
          </w:tcPr>
          <w:p w14:paraId="31F7F51C" w14:textId="77777777" w:rsidR="0080699A" w:rsidRDefault="0080699A" w:rsidP="00A5669F">
            <w:pPr>
              <w:rPr>
                <w:rFonts w:asciiTheme="minorHAnsi" w:hAnsiTheme="minorHAnsi" w:cs="Arial"/>
                <w:szCs w:val="20"/>
              </w:rPr>
            </w:pPr>
            <w:r w:rsidRPr="00983D95">
              <w:rPr>
                <w:rFonts w:asciiTheme="minorHAnsi" w:hAnsiTheme="minorHAnsi" w:cs="Arial"/>
                <w:szCs w:val="20"/>
              </w:rPr>
              <w:t>Godkendelse af merit, hvor der foreligger godkendt forhåndsmerit</w:t>
            </w:r>
          </w:p>
          <w:p w14:paraId="10830C44" w14:textId="77777777" w:rsidR="00141379" w:rsidRDefault="00141379" w:rsidP="00A5669F">
            <w:pPr>
              <w:rPr>
                <w:rFonts w:asciiTheme="minorHAnsi" w:hAnsiTheme="minorHAnsi" w:cs="Arial"/>
                <w:szCs w:val="20"/>
              </w:rPr>
            </w:pPr>
          </w:p>
          <w:p w14:paraId="0E7A3F0F" w14:textId="77777777" w:rsidR="00141379" w:rsidRPr="00983D95" w:rsidRDefault="00141379" w:rsidP="00A5669F">
            <w:pPr>
              <w:rPr>
                <w:rFonts w:asciiTheme="minorHAnsi" w:hAnsiTheme="minorHAnsi" w:cs="Arial"/>
                <w:szCs w:val="20"/>
              </w:rPr>
            </w:pPr>
            <w:r>
              <w:rPr>
                <w:rFonts w:asciiTheme="minorHAnsi" w:hAnsiTheme="minorHAnsi" w:cs="Arial"/>
                <w:szCs w:val="20"/>
              </w:rPr>
              <w:t>Godkendelse af forhåndsmerit, hvor tilsvarende er givet andre studerende</w:t>
            </w:r>
          </w:p>
        </w:tc>
        <w:tc>
          <w:tcPr>
            <w:tcW w:w="2178" w:type="dxa"/>
          </w:tcPr>
          <w:p w14:paraId="02D1D854"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af merit og forhåndsmerit, evt.  i samråd med relevant SN-medlem eller anden medarbejder fra berørte sektion</w:t>
            </w:r>
          </w:p>
        </w:tc>
        <w:tc>
          <w:tcPr>
            <w:tcW w:w="2152" w:type="dxa"/>
          </w:tcPr>
          <w:p w14:paraId="4764B2A2"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Merit, hvor der foreligger usikkerhed eller uenighed</w:t>
            </w:r>
          </w:p>
        </w:tc>
      </w:tr>
      <w:tr w:rsidR="0080699A" w:rsidRPr="00983D95" w14:paraId="1B164052" w14:textId="77777777" w:rsidTr="00552A8E">
        <w:tc>
          <w:tcPr>
            <w:tcW w:w="7196" w:type="dxa"/>
          </w:tcPr>
          <w:p w14:paraId="2B48AEB9"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Merit for indkommende studerende</w:t>
            </w:r>
            <w:r w:rsidR="00566C25">
              <w:rPr>
                <w:rFonts w:asciiTheme="minorHAnsi" w:hAnsiTheme="minorHAnsi" w:cs="Arial"/>
                <w:szCs w:val="20"/>
                <w:u w:val="single"/>
              </w:rPr>
              <w:t xml:space="preserve"> (startmerit)</w:t>
            </w:r>
          </w:p>
          <w:p w14:paraId="1E63B45E" w14:textId="77777777" w:rsidR="0080699A" w:rsidRPr="00983D95" w:rsidRDefault="0080699A" w:rsidP="00A5669F">
            <w:pPr>
              <w:rPr>
                <w:rFonts w:asciiTheme="minorHAnsi" w:hAnsiTheme="minorHAnsi" w:cs="Arial"/>
                <w:szCs w:val="20"/>
              </w:rPr>
            </w:pPr>
          </w:p>
          <w:p w14:paraId="720B46B9" w14:textId="77777777" w:rsidR="0080699A" w:rsidRDefault="0080699A" w:rsidP="00A5669F">
            <w:pPr>
              <w:rPr>
                <w:rFonts w:asciiTheme="minorHAnsi" w:hAnsiTheme="minorHAnsi" w:cs="Arial"/>
                <w:szCs w:val="20"/>
              </w:rPr>
            </w:pPr>
            <w:r w:rsidRPr="00983D95">
              <w:rPr>
                <w:rFonts w:asciiTheme="minorHAnsi" w:hAnsiTheme="minorHAnsi" w:cs="Arial"/>
                <w:szCs w:val="20"/>
              </w:rPr>
              <w:t>Retningslinjer for tildeling af merit</w:t>
            </w:r>
          </w:p>
          <w:p w14:paraId="19CF10F3" w14:textId="4CF2FA04" w:rsidR="0080699A" w:rsidRPr="00983D95" w:rsidRDefault="00686C80" w:rsidP="00A5669F">
            <w:pPr>
              <w:rPr>
                <w:rFonts w:asciiTheme="minorHAnsi" w:hAnsiTheme="minorHAnsi" w:cs="Arial"/>
                <w:szCs w:val="20"/>
                <w:u w:val="single"/>
              </w:rPr>
            </w:pPr>
            <w:hyperlink r:id="rId13" w:history="1">
              <w:r w:rsidR="00F24459" w:rsidRPr="009452D7">
                <w:rPr>
                  <w:rStyle w:val="Hyperlink"/>
                  <w:rFonts w:asciiTheme="minorHAnsi" w:hAnsiTheme="minorHAnsi" w:cs="Arial"/>
                  <w:szCs w:val="20"/>
                </w:rPr>
                <w:t>https://www.aau.dk/uddannelser/optagelse/indskrivning-studieskift-og-gaestestuderende/merit#</w:t>
              </w:r>
            </w:hyperlink>
            <w:r w:rsidR="00F24459">
              <w:rPr>
                <w:rFonts w:asciiTheme="minorHAnsi" w:hAnsiTheme="minorHAnsi" w:cs="Arial"/>
                <w:szCs w:val="20"/>
              </w:rPr>
              <w:t xml:space="preserve"> </w:t>
            </w:r>
          </w:p>
        </w:tc>
        <w:tc>
          <w:tcPr>
            <w:tcW w:w="2126" w:type="dxa"/>
          </w:tcPr>
          <w:p w14:paraId="37C9F386" w14:textId="77777777" w:rsidR="0080699A" w:rsidRPr="00983D95" w:rsidRDefault="0080699A" w:rsidP="00A5669F">
            <w:pPr>
              <w:rPr>
                <w:rFonts w:asciiTheme="minorHAnsi" w:hAnsiTheme="minorHAnsi" w:cs="Arial"/>
                <w:szCs w:val="20"/>
              </w:rPr>
            </w:pPr>
          </w:p>
        </w:tc>
        <w:tc>
          <w:tcPr>
            <w:tcW w:w="2178" w:type="dxa"/>
          </w:tcPr>
          <w:p w14:paraId="59902CD3" w14:textId="77777777" w:rsidR="0080699A" w:rsidRDefault="0080699A" w:rsidP="00A5669F">
            <w:pPr>
              <w:rPr>
                <w:rFonts w:asciiTheme="minorHAnsi" w:hAnsiTheme="minorHAnsi" w:cs="Arial"/>
                <w:szCs w:val="20"/>
              </w:rPr>
            </w:pPr>
            <w:r w:rsidRPr="00983D95">
              <w:rPr>
                <w:rFonts w:asciiTheme="minorHAnsi" w:hAnsiTheme="minorHAnsi" w:cs="Arial"/>
                <w:szCs w:val="20"/>
              </w:rPr>
              <w:t>Godkendelse af merit og forhåndsmerit, evt. i samråd med relevant SN-medlem eller anden medarbejder fra berørte sektion</w:t>
            </w:r>
          </w:p>
          <w:p w14:paraId="0B148FFE" w14:textId="77777777" w:rsidR="0080699A" w:rsidRDefault="0080699A" w:rsidP="002643E9">
            <w:pPr>
              <w:rPr>
                <w:rFonts w:asciiTheme="minorHAnsi" w:hAnsiTheme="minorHAnsi" w:cs="Arial"/>
                <w:szCs w:val="20"/>
              </w:rPr>
            </w:pPr>
          </w:p>
          <w:p w14:paraId="2EE4C7FC" w14:textId="77777777" w:rsidR="0080699A" w:rsidRPr="00983D95" w:rsidRDefault="0080699A" w:rsidP="002643E9">
            <w:pPr>
              <w:rPr>
                <w:rFonts w:asciiTheme="minorHAnsi" w:hAnsiTheme="minorHAnsi" w:cs="Arial"/>
                <w:szCs w:val="20"/>
              </w:rPr>
            </w:pPr>
          </w:p>
        </w:tc>
        <w:tc>
          <w:tcPr>
            <w:tcW w:w="2152" w:type="dxa"/>
          </w:tcPr>
          <w:p w14:paraId="19D8D7AE" w14:textId="77777777" w:rsidR="0080699A" w:rsidRDefault="0080699A" w:rsidP="00A5669F">
            <w:pPr>
              <w:rPr>
                <w:rFonts w:asciiTheme="minorHAnsi" w:hAnsiTheme="minorHAnsi" w:cs="Arial"/>
                <w:szCs w:val="20"/>
              </w:rPr>
            </w:pPr>
            <w:r w:rsidRPr="00983D95">
              <w:rPr>
                <w:rFonts w:asciiTheme="minorHAnsi" w:hAnsiTheme="minorHAnsi" w:cs="Arial"/>
                <w:szCs w:val="20"/>
              </w:rPr>
              <w:t>Merit, hvor der foreligger usikkerhed eller uenighed</w:t>
            </w:r>
          </w:p>
          <w:p w14:paraId="2ED6EC7A" w14:textId="77777777" w:rsidR="0080699A" w:rsidRDefault="0080699A" w:rsidP="00A5669F">
            <w:pPr>
              <w:rPr>
                <w:rFonts w:asciiTheme="minorHAnsi" w:hAnsiTheme="minorHAnsi" w:cs="Arial"/>
                <w:szCs w:val="20"/>
              </w:rPr>
            </w:pPr>
          </w:p>
          <w:p w14:paraId="063ADBFE" w14:textId="7ECAC1B2" w:rsidR="0080699A" w:rsidRPr="00983D95" w:rsidRDefault="0080699A" w:rsidP="00A5669F">
            <w:pPr>
              <w:rPr>
                <w:rFonts w:asciiTheme="minorHAnsi" w:hAnsiTheme="minorHAnsi" w:cs="Arial"/>
                <w:szCs w:val="20"/>
              </w:rPr>
            </w:pPr>
            <w:r w:rsidRPr="003F5190">
              <w:rPr>
                <w:rFonts w:asciiTheme="minorHAnsi" w:hAnsiTheme="minorHAnsi" w:cs="Arial"/>
                <w:szCs w:val="20"/>
              </w:rPr>
              <w:t>Mer</w:t>
            </w:r>
            <w:r w:rsidR="00566C25">
              <w:rPr>
                <w:rFonts w:asciiTheme="minorHAnsi" w:hAnsiTheme="minorHAnsi" w:cs="Arial"/>
                <w:szCs w:val="20"/>
              </w:rPr>
              <w:t>it</w:t>
            </w:r>
            <w:r w:rsidRPr="003F5190">
              <w:rPr>
                <w:rFonts w:asciiTheme="minorHAnsi" w:hAnsiTheme="minorHAnsi" w:cs="Arial"/>
                <w:szCs w:val="20"/>
              </w:rPr>
              <w:t>vurderinger i forbindelse med semesterstart varetages af SN-medlem fra relevant sektion</w:t>
            </w:r>
          </w:p>
        </w:tc>
      </w:tr>
      <w:tr w:rsidR="0080699A" w:rsidRPr="00983D95" w14:paraId="6789CEF1" w14:textId="77777777" w:rsidTr="00552A8E">
        <w:tc>
          <w:tcPr>
            <w:tcW w:w="7196" w:type="dxa"/>
          </w:tcPr>
          <w:p w14:paraId="3FAE413D"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Optagelse på 3.-6. sem på bachelor-uddannelser</w:t>
            </w:r>
          </w:p>
          <w:p w14:paraId="1B098486" w14:textId="77777777" w:rsidR="0080699A" w:rsidRPr="00983D95" w:rsidRDefault="0080699A" w:rsidP="00A5669F">
            <w:pPr>
              <w:rPr>
                <w:rFonts w:asciiTheme="minorHAnsi" w:hAnsiTheme="minorHAnsi" w:cs="Arial"/>
                <w:szCs w:val="20"/>
                <w:u w:val="single"/>
              </w:rPr>
            </w:pPr>
          </w:p>
          <w:p w14:paraId="572DC778" w14:textId="4375BACE" w:rsidR="0080699A" w:rsidRDefault="0080699A" w:rsidP="00A5669F">
            <w:pPr>
              <w:ind w:left="8"/>
              <w:rPr>
                <w:rFonts w:asciiTheme="minorHAnsi" w:hAnsiTheme="minorHAnsi" w:cs="Arial"/>
                <w:szCs w:val="20"/>
              </w:rPr>
            </w:pPr>
            <w:r w:rsidRPr="00983D95">
              <w:rPr>
                <w:rFonts w:asciiTheme="minorHAnsi" w:hAnsiTheme="minorHAnsi" w:cs="Arial"/>
                <w:szCs w:val="20"/>
              </w:rPr>
              <w:t>Retningslinjer for optagelse a</w:t>
            </w:r>
            <w:r w:rsidR="00566C25">
              <w:rPr>
                <w:rFonts w:asciiTheme="minorHAnsi" w:hAnsiTheme="minorHAnsi" w:cs="Arial"/>
                <w:szCs w:val="20"/>
              </w:rPr>
              <w:t>f</w:t>
            </w:r>
            <w:r w:rsidRPr="00983D95">
              <w:rPr>
                <w:rFonts w:asciiTheme="minorHAnsi" w:hAnsiTheme="minorHAnsi" w:cs="Arial"/>
                <w:szCs w:val="20"/>
              </w:rPr>
              <w:t xml:space="preserve"> studerende med ikke-forhåndsgodkendt bacheloruddannelse </w:t>
            </w:r>
          </w:p>
          <w:p w14:paraId="420745C5" w14:textId="20B7BD7F" w:rsidR="0080699A" w:rsidRPr="00983D95" w:rsidRDefault="00686C80" w:rsidP="00EE6A6A">
            <w:pPr>
              <w:ind w:left="8"/>
              <w:rPr>
                <w:rFonts w:asciiTheme="minorHAnsi" w:hAnsiTheme="minorHAnsi" w:cs="Arial"/>
                <w:szCs w:val="20"/>
              </w:rPr>
            </w:pPr>
            <w:hyperlink r:id="rId14" w:anchor="betingelser-for-bachelorstuderende" w:history="1">
              <w:r w:rsidR="00F24459" w:rsidRPr="009452D7">
                <w:rPr>
                  <w:rStyle w:val="Hyperlink"/>
                  <w:rFonts w:asciiTheme="minorHAnsi" w:hAnsiTheme="minorHAnsi" w:cs="Arial"/>
                  <w:szCs w:val="20"/>
                </w:rPr>
                <w:t>https://www.aau.dk/uddannelser/optagelse/indskrivning-studieskift-og-gaestestuderende#betingelser-for-bachelorstuderende</w:t>
              </w:r>
            </w:hyperlink>
            <w:r w:rsidR="00F24459">
              <w:rPr>
                <w:rFonts w:asciiTheme="minorHAnsi" w:hAnsiTheme="minorHAnsi" w:cs="Arial"/>
                <w:szCs w:val="20"/>
              </w:rPr>
              <w:t xml:space="preserve"> </w:t>
            </w:r>
          </w:p>
        </w:tc>
        <w:tc>
          <w:tcPr>
            <w:tcW w:w="2126" w:type="dxa"/>
          </w:tcPr>
          <w:p w14:paraId="2C0C7700" w14:textId="77777777" w:rsidR="0080699A" w:rsidRPr="00983D95" w:rsidRDefault="0080699A" w:rsidP="00A5669F">
            <w:pPr>
              <w:rPr>
                <w:rFonts w:asciiTheme="minorHAnsi" w:hAnsiTheme="minorHAnsi" w:cs="Arial"/>
                <w:szCs w:val="20"/>
              </w:rPr>
            </w:pPr>
          </w:p>
        </w:tc>
        <w:tc>
          <w:tcPr>
            <w:tcW w:w="2178" w:type="dxa"/>
          </w:tcPr>
          <w:p w14:paraId="753E0C12"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af merit, evt. i samråd med relevant SN-medlem eller anden medarbejder fra berørte sektion</w:t>
            </w:r>
          </w:p>
          <w:p w14:paraId="6861FCE8" w14:textId="77777777" w:rsidR="0080699A" w:rsidRPr="00983D95" w:rsidRDefault="0080699A" w:rsidP="00A5669F">
            <w:pPr>
              <w:rPr>
                <w:rFonts w:asciiTheme="minorHAnsi" w:hAnsiTheme="minorHAnsi" w:cs="Arial"/>
                <w:szCs w:val="20"/>
              </w:rPr>
            </w:pPr>
          </w:p>
          <w:p w14:paraId="12303F8E"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Afslag i samarbejde med relevant SN-med</w:t>
            </w:r>
            <w:r w:rsidRPr="00983D95">
              <w:rPr>
                <w:rFonts w:asciiTheme="minorHAnsi" w:hAnsiTheme="minorHAnsi" w:cs="Arial"/>
                <w:szCs w:val="20"/>
              </w:rPr>
              <w:lastRenderedPageBreak/>
              <w:t>lem eller anden medarbejder fra berørte sektion</w:t>
            </w:r>
          </w:p>
        </w:tc>
        <w:tc>
          <w:tcPr>
            <w:tcW w:w="2152" w:type="dxa"/>
          </w:tcPr>
          <w:p w14:paraId="6002D3F2"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lastRenderedPageBreak/>
              <w:t>Godkendelse og afslag i sager, hvor der foreligger usikkerhed eller ueninghed</w:t>
            </w:r>
          </w:p>
        </w:tc>
      </w:tr>
      <w:tr w:rsidR="0080699A" w:rsidRPr="00983D95" w14:paraId="7879D66F" w14:textId="77777777" w:rsidTr="00552A8E">
        <w:tc>
          <w:tcPr>
            <w:tcW w:w="7196" w:type="dxa"/>
          </w:tcPr>
          <w:p w14:paraId="2CD4E033" w14:textId="77777777" w:rsidR="0080699A" w:rsidRPr="00983D95" w:rsidRDefault="0080699A" w:rsidP="00A5669F">
            <w:pPr>
              <w:rPr>
                <w:rFonts w:asciiTheme="minorHAnsi" w:hAnsiTheme="minorHAnsi" w:cs="Arial"/>
                <w:szCs w:val="20"/>
                <w:u w:val="single"/>
              </w:rPr>
            </w:pPr>
            <w:r w:rsidRPr="00983D95">
              <w:rPr>
                <w:rFonts w:asciiTheme="minorHAnsi" w:hAnsiTheme="minorHAnsi" w:cs="Arial"/>
                <w:szCs w:val="20"/>
                <w:u w:val="single"/>
              </w:rPr>
              <w:t>Optagelse på kandidat-uddannelse</w:t>
            </w:r>
          </w:p>
          <w:p w14:paraId="7DA9C689" w14:textId="77777777" w:rsidR="0080699A" w:rsidRPr="00983D95" w:rsidRDefault="0080699A" w:rsidP="00A5669F">
            <w:pPr>
              <w:rPr>
                <w:rFonts w:asciiTheme="minorHAnsi" w:hAnsiTheme="minorHAnsi" w:cs="Arial"/>
                <w:szCs w:val="20"/>
                <w:u w:val="single"/>
              </w:rPr>
            </w:pPr>
          </w:p>
          <w:p w14:paraId="753276F1" w14:textId="77777777" w:rsidR="0080699A" w:rsidRDefault="0080699A" w:rsidP="00A5669F">
            <w:pPr>
              <w:ind w:left="8"/>
              <w:rPr>
                <w:rFonts w:asciiTheme="minorHAnsi" w:hAnsiTheme="minorHAnsi" w:cs="Arial"/>
                <w:szCs w:val="20"/>
              </w:rPr>
            </w:pPr>
            <w:r w:rsidRPr="00983D95">
              <w:rPr>
                <w:rFonts w:asciiTheme="minorHAnsi" w:hAnsiTheme="minorHAnsi" w:cs="Arial"/>
                <w:szCs w:val="20"/>
              </w:rPr>
              <w:t xml:space="preserve">Afgørelse i sager, hvor ansøger har en ikke-forhåndsgodkendt bachelor-uddannelse følger procedure beskrevet her </w:t>
            </w:r>
          </w:p>
          <w:p w14:paraId="16E66309" w14:textId="2CAC5CC8" w:rsidR="0080699A" w:rsidRPr="00983D95" w:rsidRDefault="00686C80" w:rsidP="00A5669F">
            <w:pPr>
              <w:ind w:left="8"/>
              <w:rPr>
                <w:rFonts w:asciiTheme="minorHAnsi" w:hAnsiTheme="minorHAnsi" w:cs="Arial"/>
                <w:szCs w:val="20"/>
              </w:rPr>
            </w:pPr>
            <w:hyperlink r:id="rId15" w:history="1">
              <w:r w:rsidR="00F24459" w:rsidRPr="009452D7">
                <w:rPr>
                  <w:rStyle w:val="Hyperlink"/>
                  <w:rFonts w:asciiTheme="minorHAnsi" w:hAnsiTheme="minorHAnsi" w:cs="Arial"/>
                  <w:szCs w:val="20"/>
                </w:rPr>
                <w:t>https://www.aau.dk/uddannelser/optagelse/kandidat/adgangskrav</w:t>
              </w:r>
            </w:hyperlink>
            <w:r w:rsidR="00F24459">
              <w:rPr>
                <w:rFonts w:asciiTheme="minorHAnsi" w:hAnsiTheme="minorHAnsi" w:cs="Arial"/>
                <w:szCs w:val="20"/>
              </w:rPr>
              <w:t xml:space="preserve"> </w:t>
            </w:r>
          </w:p>
          <w:p w14:paraId="1F7203F9" w14:textId="77777777" w:rsidR="0080699A" w:rsidRPr="00983D95" w:rsidRDefault="0080699A" w:rsidP="00A5669F">
            <w:pPr>
              <w:pStyle w:val="Listeafsnit"/>
              <w:ind w:left="368"/>
              <w:rPr>
                <w:rFonts w:asciiTheme="minorHAnsi" w:hAnsiTheme="minorHAnsi" w:cs="Arial"/>
                <w:sz w:val="20"/>
                <w:szCs w:val="20"/>
              </w:rPr>
            </w:pPr>
          </w:p>
        </w:tc>
        <w:tc>
          <w:tcPr>
            <w:tcW w:w="2126" w:type="dxa"/>
          </w:tcPr>
          <w:p w14:paraId="740F27AB" w14:textId="77777777" w:rsidR="0080699A" w:rsidRPr="00983D95" w:rsidRDefault="0080699A" w:rsidP="00A5669F">
            <w:pPr>
              <w:rPr>
                <w:rFonts w:asciiTheme="minorHAnsi" w:hAnsiTheme="minorHAnsi" w:cs="Arial"/>
                <w:szCs w:val="20"/>
              </w:rPr>
            </w:pPr>
          </w:p>
        </w:tc>
        <w:tc>
          <w:tcPr>
            <w:tcW w:w="2178" w:type="dxa"/>
          </w:tcPr>
          <w:p w14:paraId="0471BE84"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af optagelsesgrundlag, herunder merit i samråd med relevant SN-medlem eller anden medarbejder fra berørte sektion</w:t>
            </w:r>
          </w:p>
          <w:p w14:paraId="1AA676F1" w14:textId="77777777" w:rsidR="0080699A" w:rsidRPr="00983D95" w:rsidRDefault="0080699A" w:rsidP="00A5669F">
            <w:pPr>
              <w:rPr>
                <w:rFonts w:asciiTheme="minorHAnsi" w:hAnsiTheme="minorHAnsi" w:cs="Arial"/>
                <w:szCs w:val="20"/>
              </w:rPr>
            </w:pPr>
          </w:p>
          <w:p w14:paraId="7F2DBCBC"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Afslag i samarbejde med relevant SN-medlem eller anden medarbejder fra berørte sektion</w:t>
            </w:r>
          </w:p>
        </w:tc>
        <w:tc>
          <w:tcPr>
            <w:tcW w:w="2152" w:type="dxa"/>
          </w:tcPr>
          <w:p w14:paraId="18AE798D"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og afslag i sager, hvor der foreligger usikkerhed eller uenighed</w:t>
            </w:r>
          </w:p>
        </w:tc>
      </w:tr>
      <w:tr w:rsidR="0080699A" w:rsidRPr="00983D95" w14:paraId="5E981729" w14:textId="77777777" w:rsidTr="00552A8E">
        <w:tc>
          <w:tcPr>
            <w:tcW w:w="7196" w:type="dxa"/>
          </w:tcPr>
          <w:p w14:paraId="752453B6" w14:textId="2E7C8A78" w:rsidR="0080699A" w:rsidRPr="00410B41" w:rsidRDefault="0080699A" w:rsidP="00A5669F">
            <w:pPr>
              <w:rPr>
                <w:rFonts w:asciiTheme="minorHAnsi" w:hAnsiTheme="minorHAnsi" w:cs="Arial"/>
                <w:szCs w:val="20"/>
              </w:rPr>
            </w:pPr>
            <w:r w:rsidRPr="00410B41">
              <w:rPr>
                <w:rFonts w:asciiTheme="minorHAnsi" w:hAnsiTheme="minorHAnsi" w:cs="Arial"/>
                <w:szCs w:val="20"/>
                <w:u w:val="single"/>
              </w:rPr>
              <w:t>Studieskift</w:t>
            </w:r>
            <w:r w:rsidR="00566C25">
              <w:rPr>
                <w:rFonts w:asciiTheme="minorHAnsi" w:hAnsiTheme="minorHAnsi" w:cs="Arial"/>
                <w:szCs w:val="20"/>
                <w:u w:val="single"/>
              </w:rPr>
              <w:t>e (indskrivning)</w:t>
            </w:r>
            <w:r w:rsidRPr="00410B41">
              <w:rPr>
                <w:rFonts w:asciiTheme="minorHAnsi" w:hAnsiTheme="minorHAnsi" w:cs="Arial"/>
                <w:szCs w:val="20"/>
                <w:u w:val="single"/>
              </w:rPr>
              <w:t xml:space="preserve"> internt på AAU</w:t>
            </w:r>
          </w:p>
          <w:p w14:paraId="0DAC62D5" w14:textId="77777777" w:rsidR="0080699A" w:rsidRPr="00154492" w:rsidRDefault="0080699A" w:rsidP="00A5669F">
            <w:pPr>
              <w:rPr>
                <w:rFonts w:asciiTheme="minorHAnsi" w:hAnsiTheme="minorHAnsi" w:cs="Arial"/>
                <w:szCs w:val="20"/>
              </w:rPr>
            </w:pPr>
          </w:p>
          <w:p w14:paraId="295846A5" w14:textId="7BB8C06F" w:rsidR="00CE582C" w:rsidRPr="005015A0" w:rsidRDefault="0080699A" w:rsidP="00CE582C">
            <w:pPr>
              <w:rPr>
                <w:rFonts w:asciiTheme="minorHAnsi" w:hAnsiTheme="minorHAnsi" w:cs="Arial"/>
                <w:szCs w:val="20"/>
              </w:rPr>
            </w:pPr>
            <w:r w:rsidRPr="00D84266">
              <w:rPr>
                <w:rFonts w:asciiTheme="minorHAnsi" w:hAnsiTheme="minorHAnsi" w:cstheme="minorHAnsi"/>
                <w:szCs w:val="20"/>
              </w:rPr>
              <w:t>Retningslinjer</w:t>
            </w:r>
            <w:r w:rsidR="00067F4B" w:rsidRPr="00D84266">
              <w:rPr>
                <w:rFonts w:asciiTheme="minorHAnsi" w:hAnsiTheme="minorHAnsi" w:cstheme="minorHAnsi"/>
                <w:szCs w:val="20"/>
              </w:rPr>
              <w:t>:</w:t>
            </w:r>
            <w:r w:rsidR="00067F4B" w:rsidRPr="00D84266">
              <w:rPr>
                <w:rFonts w:asciiTheme="minorHAnsi" w:hAnsiTheme="minorHAnsi" w:cstheme="minorHAnsi"/>
                <w:szCs w:val="20"/>
              </w:rPr>
              <w:br/>
            </w:r>
            <w:hyperlink r:id="rId16" w:history="1">
              <w:r w:rsidR="00D84266" w:rsidRPr="00D84266">
                <w:rPr>
                  <w:rStyle w:val="Hyperlink"/>
                  <w:rFonts w:asciiTheme="minorHAnsi" w:hAnsiTheme="minorHAnsi" w:cstheme="minorHAnsi"/>
                </w:rPr>
                <w:t>https://www.aau.dk/uddannelser/optagelse/indskrivning-studieskift-og-gaestestuderende</w:t>
              </w:r>
            </w:hyperlink>
            <w:r w:rsidR="00D84266">
              <w:t xml:space="preserve"> </w:t>
            </w:r>
            <w:r w:rsidR="004842D6">
              <w:rPr>
                <w:rFonts w:asciiTheme="minorHAnsi" w:hAnsiTheme="minorHAnsi" w:cs="Arial"/>
                <w:szCs w:val="20"/>
              </w:rPr>
              <w:br/>
            </w:r>
            <w:r w:rsidR="00D84266" w:rsidRPr="00D84266">
              <w:rPr>
                <w:rFonts w:asciiTheme="minorHAnsi" w:hAnsiTheme="minorHAnsi" w:cs="Arial"/>
                <w:color w:val="000000" w:themeColor="text1"/>
                <w:szCs w:val="20"/>
              </w:rPr>
              <w:t>Alle slags skift til anden uddannelses sker gennem en formel ansøgning. Ansøgningerne behandles på Optagelseskontoret i Studieservice</w:t>
            </w:r>
            <w:r w:rsidR="00D84266">
              <w:rPr>
                <w:rFonts w:asciiTheme="minorHAnsi" w:hAnsiTheme="minorHAnsi" w:cs="Arial"/>
                <w:color w:val="000000" w:themeColor="text1"/>
                <w:szCs w:val="20"/>
              </w:rPr>
              <w:t>.</w:t>
            </w:r>
          </w:p>
          <w:p w14:paraId="37238289" w14:textId="64E1335E" w:rsidR="0080699A" w:rsidRPr="00D84266" w:rsidRDefault="0080699A" w:rsidP="00D84266">
            <w:pPr>
              <w:rPr>
                <w:rFonts w:asciiTheme="minorHAnsi" w:hAnsiTheme="minorHAnsi" w:cs="Arial"/>
                <w:szCs w:val="20"/>
              </w:rPr>
            </w:pPr>
            <w:r w:rsidRPr="00EB18CC">
              <w:rPr>
                <w:rFonts w:asciiTheme="minorHAnsi" w:hAnsiTheme="minorHAnsi" w:cs="Arial"/>
                <w:szCs w:val="20"/>
              </w:rPr>
              <w:t xml:space="preserve"> </w:t>
            </w:r>
          </w:p>
        </w:tc>
        <w:tc>
          <w:tcPr>
            <w:tcW w:w="2126" w:type="dxa"/>
          </w:tcPr>
          <w:p w14:paraId="6853A20D" w14:textId="77777777" w:rsidR="0080699A" w:rsidRPr="00983D95" w:rsidRDefault="0080699A" w:rsidP="00A5669F">
            <w:pPr>
              <w:rPr>
                <w:rFonts w:asciiTheme="minorHAnsi" w:hAnsiTheme="minorHAnsi" w:cs="Arial"/>
                <w:szCs w:val="20"/>
              </w:rPr>
            </w:pPr>
          </w:p>
        </w:tc>
        <w:tc>
          <w:tcPr>
            <w:tcW w:w="2178" w:type="dxa"/>
          </w:tcPr>
          <w:p w14:paraId="6B7CB638"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Godkendelse af studieskift</w:t>
            </w:r>
            <w:r w:rsidR="00566C25">
              <w:rPr>
                <w:rFonts w:asciiTheme="minorHAnsi" w:hAnsiTheme="minorHAnsi" w:cs="Arial"/>
                <w:szCs w:val="20"/>
              </w:rPr>
              <w:t xml:space="preserve">e </w:t>
            </w:r>
            <w:r w:rsidRPr="00983D95">
              <w:rPr>
                <w:rFonts w:asciiTheme="minorHAnsi" w:hAnsiTheme="minorHAnsi" w:cs="Arial"/>
                <w:szCs w:val="20"/>
              </w:rPr>
              <w:t>evt. i samråd med SN-medlem fra berørte sektion</w:t>
            </w:r>
          </w:p>
        </w:tc>
        <w:tc>
          <w:tcPr>
            <w:tcW w:w="2152" w:type="dxa"/>
          </w:tcPr>
          <w:p w14:paraId="2A6778F5" w14:textId="77777777" w:rsidR="0080699A" w:rsidRPr="00983D95" w:rsidRDefault="0080699A" w:rsidP="00A5669F">
            <w:pPr>
              <w:rPr>
                <w:rFonts w:asciiTheme="minorHAnsi" w:hAnsiTheme="minorHAnsi" w:cs="Arial"/>
                <w:szCs w:val="20"/>
              </w:rPr>
            </w:pPr>
            <w:r w:rsidRPr="00983D95">
              <w:rPr>
                <w:rFonts w:asciiTheme="minorHAnsi" w:hAnsiTheme="minorHAnsi" w:cs="Arial"/>
                <w:szCs w:val="20"/>
              </w:rPr>
              <w:t>Afslag</w:t>
            </w:r>
          </w:p>
        </w:tc>
      </w:tr>
      <w:tr w:rsidR="0080699A" w:rsidRPr="00983D95" w14:paraId="235205F3" w14:textId="77777777" w:rsidTr="00552A8E">
        <w:tc>
          <w:tcPr>
            <w:tcW w:w="7196" w:type="dxa"/>
          </w:tcPr>
          <w:p w14:paraId="0BBD56AA" w14:textId="77777777" w:rsidR="0080699A" w:rsidRPr="00541ADA" w:rsidRDefault="0080699A" w:rsidP="0084331E">
            <w:pPr>
              <w:rPr>
                <w:rFonts w:asciiTheme="minorHAnsi" w:hAnsiTheme="minorHAnsi" w:cs="Arial"/>
                <w:color w:val="000000" w:themeColor="text1"/>
                <w:szCs w:val="20"/>
                <w:u w:val="single"/>
              </w:rPr>
            </w:pPr>
            <w:r w:rsidRPr="00541ADA">
              <w:rPr>
                <w:rFonts w:asciiTheme="minorHAnsi" w:hAnsiTheme="minorHAnsi" w:cs="Arial"/>
                <w:color w:val="000000" w:themeColor="text1"/>
                <w:szCs w:val="20"/>
                <w:u w:val="single"/>
              </w:rPr>
              <w:t>Optagelse af interne studerende på sidefag i kemi eller biologi</w:t>
            </w:r>
          </w:p>
          <w:p w14:paraId="79B27845" w14:textId="77777777" w:rsidR="0080699A" w:rsidRDefault="0080699A" w:rsidP="004842D6">
            <w:pPr>
              <w:rPr>
                <w:rFonts w:asciiTheme="minorHAnsi" w:hAnsiTheme="minorHAnsi" w:cs="Arial"/>
                <w:color w:val="000000" w:themeColor="text1"/>
                <w:szCs w:val="20"/>
              </w:rPr>
            </w:pPr>
          </w:p>
          <w:p w14:paraId="4EBCD7F7" w14:textId="1CDB4018" w:rsidR="004842D6" w:rsidRPr="005015A0" w:rsidRDefault="004842D6" w:rsidP="004842D6">
            <w:pPr>
              <w:rPr>
                <w:rFonts w:asciiTheme="minorHAnsi" w:hAnsiTheme="minorHAnsi" w:cs="Arial"/>
                <w:color w:val="000000" w:themeColor="text1"/>
                <w:szCs w:val="20"/>
              </w:rPr>
            </w:pPr>
            <w:r>
              <w:rPr>
                <w:rFonts w:asciiTheme="minorHAnsi" w:hAnsiTheme="minorHAnsi" w:cs="Arial"/>
                <w:color w:val="000000" w:themeColor="text1"/>
                <w:szCs w:val="20"/>
              </w:rPr>
              <w:t xml:space="preserve">Studerende skal søge gennem ansøgningsportalen. </w:t>
            </w:r>
            <w:hyperlink r:id="rId17" w:anchor="s%C3%A5dan-s%C3%B8ger-du" w:history="1">
              <w:r w:rsidR="00D84266" w:rsidRPr="009452D7">
                <w:rPr>
                  <w:rStyle w:val="Hyperlink"/>
                  <w:rFonts w:asciiTheme="minorHAnsi" w:hAnsiTheme="minorHAnsi" w:cs="Arial"/>
                  <w:szCs w:val="20"/>
                </w:rPr>
                <w:t>https://www.aau.dk/uddannelser/optagelse/indskrivning-studieskift-og-gaestestuderende#s%C3%A5dan-s%C3%B8ger-du</w:t>
              </w:r>
            </w:hyperlink>
            <w:r w:rsidR="00D84266">
              <w:rPr>
                <w:rFonts w:asciiTheme="minorHAnsi" w:hAnsiTheme="minorHAnsi" w:cs="Arial"/>
                <w:color w:val="000000" w:themeColor="text1"/>
                <w:szCs w:val="20"/>
              </w:rPr>
              <w:t xml:space="preserve"> </w:t>
            </w:r>
          </w:p>
        </w:tc>
        <w:tc>
          <w:tcPr>
            <w:tcW w:w="2126" w:type="dxa"/>
          </w:tcPr>
          <w:p w14:paraId="3DB603F6" w14:textId="77777777" w:rsidR="0080699A" w:rsidRPr="00541ADA" w:rsidRDefault="0080699A" w:rsidP="0084331E">
            <w:pPr>
              <w:rPr>
                <w:rFonts w:asciiTheme="minorHAnsi" w:hAnsiTheme="minorHAnsi" w:cs="Arial"/>
                <w:color w:val="000000" w:themeColor="text1"/>
                <w:szCs w:val="20"/>
              </w:rPr>
            </w:pPr>
          </w:p>
        </w:tc>
        <w:tc>
          <w:tcPr>
            <w:tcW w:w="2178" w:type="dxa"/>
          </w:tcPr>
          <w:p w14:paraId="6292C545" w14:textId="64C7879B" w:rsidR="0080699A" w:rsidRPr="00541ADA" w:rsidRDefault="0080699A" w:rsidP="0084331E">
            <w:pPr>
              <w:rPr>
                <w:rFonts w:asciiTheme="minorHAnsi" w:hAnsiTheme="minorHAnsi" w:cs="Arial"/>
                <w:color w:val="000000" w:themeColor="text1"/>
                <w:szCs w:val="20"/>
              </w:rPr>
            </w:pPr>
          </w:p>
        </w:tc>
        <w:tc>
          <w:tcPr>
            <w:tcW w:w="2152" w:type="dxa"/>
          </w:tcPr>
          <w:p w14:paraId="33A6DBFB" w14:textId="77777777" w:rsidR="0080699A" w:rsidRPr="00983D95" w:rsidRDefault="0080699A" w:rsidP="00A5669F">
            <w:pPr>
              <w:rPr>
                <w:rFonts w:asciiTheme="minorHAnsi" w:hAnsiTheme="minorHAnsi" w:cs="Arial"/>
                <w:szCs w:val="20"/>
              </w:rPr>
            </w:pPr>
          </w:p>
        </w:tc>
      </w:tr>
      <w:tr w:rsidR="0080699A" w:rsidRPr="00983D95" w14:paraId="2265ADA8" w14:textId="77777777" w:rsidTr="00552A8E">
        <w:tc>
          <w:tcPr>
            <w:tcW w:w="7196" w:type="dxa"/>
            <w:shd w:val="clear" w:color="auto" w:fill="BFBFBF" w:themeFill="background1" w:themeFillShade="BF"/>
          </w:tcPr>
          <w:p w14:paraId="1CBB05FC" w14:textId="77777777" w:rsidR="0080699A" w:rsidRPr="00983D95" w:rsidRDefault="0080699A" w:rsidP="00A5669F">
            <w:pPr>
              <w:rPr>
                <w:rFonts w:asciiTheme="minorHAnsi" w:hAnsiTheme="minorHAnsi" w:cs="Arial"/>
                <w:szCs w:val="20"/>
              </w:rPr>
            </w:pPr>
          </w:p>
        </w:tc>
        <w:tc>
          <w:tcPr>
            <w:tcW w:w="2126" w:type="dxa"/>
            <w:shd w:val="clear" w:color="auto" w:fill="BFBFBF" w:themeFill="background1" w:themeFillShade="BF"/>
          </w:tcPr>
          <w:p w14:paraId="4DE14BB2" w14:textId="77777777" w:rsidR="0080699A" w:rsidRPr="00983D95" w:rsidRDefault="0080699A" w:rsidP="00A5669F">
            <w:pPr>
              <w:rPr>
                <w:rFonts w:asciiTheme="minorHAnsi" w:hAnsiTheme="minorHAnsi" w:cs="Arial"/>
                <w:szCs w:val="20"/>
              </w:rPr>
            </w:pPr>
          </w:p>
        </w:tc>
        <w:tc>
          <w:tcPr>
            <w:tcW w:w="2178" w:type="dxa"/>
            <w:shd w:val="clear" w:color="auto" w:fill="BFBFBF" w:themeFill="background1" w:themeFillShade="BF"/>
          </w:tcPr>
          <w:p w14:paraId="5721B983" w14:textId="77777777" w:rsidR="0080699A" w:rsidRPr="00983D95" w:rsidRDefault="0080699A" w:rsidP="00A5669F">
            <w:pPr>
              <w:rPr>
                <w:rFonts w:asciiTheme="minorHAnsi" w:hAnsiTheme="minorHAnsi" w:cs="Arial"/>
                <w:szCs w:val="20"/>
              </w:rPr>
            </w:pPr>
          </w:p>
        </w:tc>
        <w:tc>
          <w:tcPr>
            <w:tcW w:w="2152" w:type="dxa"/>
            <w:shd w:val="clear" w:color="auto" w:fill="BFBFBF" w:themeFill="background1" w:themeFillShade="BF"/>
          </w:tcPr>
          <w:p w14:paraId="43D6CC3A" w14:textId="77777777" w:rsidR="0080699A" w:rsidRPr="00983D95" w:rsidRDefault="0080699A" w:rsidP="00A5669F">
            <w:pPr>
              <w:rPr>
                <w:rFonts w:asciiTheme="minorHAnsi" w:hAnsiTheme="minorHAnsi" w:cs="Arial"/>
                <w:szCs w:val="20"/>
              </w:rPr>
            </w:pPr>
          </w:p>
        </w:tc>
      </w:tr>
      <w:tr w:rsidR="0080699A" w:rsidRPr="00983D95" w14:paraId="6B5C1C4A" w14:textId="77777777" w:rsidTr="00552A8E">
        <w:tc>
          <w:tcPr>
            <w:tcW w:w="7196" w:type="dxa"/>
            <w:shd w:val="clear" w:color="auto" w:fill="FFFFFF" w:themeFill="background1"/>
          </w:tcPr>
          <w:p w14:paraId="31C3BEAE" w14:textId="77777777" w:rsidR="0080699A" w:rsidRPr="00983D95" w:rsidRDefault="0080699A" w:rsidP="00A5669F">
            <w:pPr>
              <w:rPr>
                <w:rFonts w:asciiTheme="minorHAnsi" w:hAnsiTheme="minorHAnsi" w:cs="Arial"/>
                <w:b/>
                <w:szCs w:val="20"/>
              </w:rPr>
            </w:pPr>
            <w:r>
              <w:rPr>
                <w:rFonts w:asciiTheme="minorHAnsi" w:hAnsiTheme="minorHAnsi" w:cs="Arial"/>
                <w:b/>
                <w:szCs w:val="20"/>
              </w:rPr>
              <w:t>Ansøgninger om studienævnets midler</w:t>
            </w:r>
          </w:p>
        </w:tc>
        <w:tc>
          <w:tcPr>
            <w:tcW w:w="2126" w:type="dxa"/>
            <w:shd w:val="clear" w:color="auto" w:fill="FFFFFF" w:themeFill="background1"/>
          </w:tcPr>
          <w:p w14:paraId="3D76D8FA" w14:textId="77777777" w:rsidR="0080699A" w:rsidRPr="00983D95" w:rsidRDefault="0080699A" w:rsidP="00A5669F">
            <w:pPr>
              <w:rPr>
                <w:rFonts w:asciiTheme="minorHAnsi" w:hAnsiTheme="minorHAnsi" w:cs="Arial"/>
                <w:szCs w:val="20"/>
              </w:rPr>
            </w:pPr>
          </w:p>
        </w:tc>
        <w:tc>
          <w:tcPr>
            <w:tcW w:w="2178" w:type="dxa"/>
            <w:shd w:val="clear" w:color="auto" w:fill="FFFFFF" w:themeFill="background1"/>
          </w:tcPr>
          <w:p w14:paraId="136EB867" w14:textId="77777777" w:rsidR="0080699A" w:rsidRPr="00983D95" w:rsidRDefault="0080699A" w:rsidP="00A5669F">
            <w:pPr>
              <w:rPr>
                <w:rFonts w:asciiTheme="minorHAnsi" w:hAnsiTheme="minorHAnsi" w:cs="Arial"/>
                <w:szCs w:val="20"/>
              </w:rPr>
            </w:pPr>
          </w:p>
        </w:tc>
        <w:tc>
          <w:tcPr>
            <w:tcW w:w="2152" w:type="dxa"/>
            <w:shd w:val="clear" w:color="auto" w:fill="FFFFFF" w:themeFill="background1"/>
          </w:tcPr>
          <w:p w14:paraId="19A50922" w14:textId="77777777" w:rsidR="0080699A" w:rsidRPr="00983D95" w:rsidRDefault="0080699A" w:rsidP="00A5669F">
            <w:pPr>
              <w:rPr>
                <w:rFonts w:asciiTheme="minorHAnsi" w:hAnsiTheme="minorHAnsi" w:cs="Arial"/>
                <w:szCs w:val="20"/>
              </w:rPr>
            </w:pPr>
          </w:p>
        </w:tc>
      </w:tr>
      <w:tr w:rsidR="0080699A" w:rsidRPr="00983D95" w14:paraId="147396F1" w14:textId="77777777" w:rsidTr="00552A8E">
        <w:tc>
          <w:tcPr>
            <w:tcW w:w="7196" w:type="dxa"/>
          </w:tcPr>
          <w:p w14:paraId="47B632E7" w14:textId="77777777" w:rsidR="0080699A" w:rsidRPr="00983D95" w:rsidRDefault="0080699A" w:rsidP="00A5669F">
            <w:pPr>
              <w:rPr>
                <w:rFonts w:asciiTheme="minorHAnsi" w:hAnsiTheme="minorHAnsi" w:cs="Arial"/>
                <w:szCs w:val="20"/>
                <w:u w:val="single"/>
              </w:rPr>
            </w:pPr>
            <w:r>
              <w:rPr>
                <w:rFonts w:asciiTheme="minorHAnsi" w:hAnsiTheme="minorHAnsi" w:cs="Arial"/>
                <w:szCs w:val="20"/>
                <w:u w:val="single"/>
              </w:rPr>
              <w:t>Ekskursions-</w:t>
            </w:r>
            <w:r w:rsidRPr="00983D95">
              <w:rPr>
                <w:rFonts w:asciiTheme="minorHAnsi" w:hAnsiTheme="minorHAnsi" w:cs="Arial"/>
                <w:szCs w:val="20"/>
                <w:u w:val="single"/>
              </w:rPr>
              <w:t>midler</w:t>
            </w:r>
          </w:p>
          <w:p w14:paraId="33CB90AD" w14:textId="7D8D630A" w:rsidR="0080699A" w:rsidRPr="00983D95" w:rsidRDefault="00566C25" w:rsidP="00A5669F">
            <w:pPr>
              <w:rPr>
                <w:rFonts w:asciiTheme="minorHAnsi" w:hAnsiTheme="minorHAnsi" w:cs="Arial"/>
                <w:szCs w:val="20"/>
              </w:rPr>
            </w:pPr>
            <w:r>
              <w:rPr>
                <w:rFonts w:asciiTheme="minorHAnsi" w:hAnsiTheme="minorHAnsi" w:cs="Arial"/>
                <w:szCs w:val="20"/>
              </w:rPr>
              <w:t xml:space="preserve">Studienævnet </w:t>
            </w:r>
            <w:r w:rsidR="006F56AA">
              <w:rPr>
                <w:rFonts w:asciiTheme="minorHAnsi" w:hAnsiTheme="minorHAnsi" w:cs="Arial"/>
                <w:szCs w:val="20"/>
              </w:rPr>
              <w:t>tildeles en årlig pulje af instituttet</w:t>
            </w:r>
          </w:p>
          <w:p w14:paraId="2379FEA3" w14:textId="77777777" w:rsidR="0080699A" w:rsidRPr="00983D95" w:rsidRDefault="0080699A" w:rsidP="00552A8E">
            <w:pPr>
              <w:pStyle w:val="Listeafsnit"/>
              <w:ind w:left="368"/>
              <w:rPr>
                <w:rFonts w:asciiTheme="minorHAnsi" w:hAnsiTheme="minorHAnsi" w:cs="Arial"/>
                <w:sz w:val="20"/>
                <w:szCs w:val="20"/>
              </w:rPr>
            </w:pPr>
          </w:p>
        </w:tc>
        <w:tc>
          <w:tcPr>
            <w:tcW w:w="2126" w:type="dxa"/>
          </w:tcPr>
          <w:p w14:paraId="1A2A7920" w14:textId="77777777" w:rsidR="0080699A" w:rsidRPr="00983D95" w:rsidRDefault="00566C25" w:rsidP="00A5669F">
            <w:pPr>
              <w:rPr>
                <w:rFonts w:asciiTheme="minorHAnsi" w:hAnsiTheme="minorHAnsi" w:cs="Arial"/>
                <w:szCs w:val="20"/>
              </w:rPr>
            </w:pPr>
            <w:r>
              <w:rPr>
                <w:rFonts w:asciiTheme="minorHAnsi" w:hAnsiTheme="minorHAnsi" w:cs="Arial"/>
                <w:szCs w:val="20"/>
              </w:rPr>
              <w:t>G</w:t>
            </w:r>
            <w:r w:rsidR="006F56AA">
              <w:rPr>
                <w:rFonts w:asciiTheme="minorHAnsi" w:hAnsiTheme="minorHAnsi" w:cs="Arial"/>
                <w:szCs w:val="20"/>
              </w:rPr>
              <w:t xml:space="preserve">odkendelse af ansøgninger op til 1000 </w:t>
            </w:r>
            <w:proofErr w:type="spellStart"/>
            <w:r w:rsidR="006F56AA">
              <w:rPr>
                <w:rFonts w:asciiTheme="minorHAnsi" w:hAnsiTheme="minorHAnsi" w:cs="Arial"/>
                <w:szCs w:val="20"/>
              </w:rPr>
              <w:t>kr</w:t>
            </w:r>
            <w:proofErr w:type="spellEnd"/>
            <w:r w:rsidR="006F56AA">
              <w:rPr>
                <w:rFonts w:asciiTheme="minorHAnsi" w:hAnsiTheme="minorHAnsi" w:cs="Arial"/>
                <w:szCs w:val="20"/>
              </w:rPr>
              <w:t xml:space="preserve"> pr. studerende</w:t>
            </w:r>
          </w:p>
        </w:tc>
        <w:tc>
          <w:tcPr>
            <w:tcW w:w="2178" w:type="dxa"/>
          </w:tcPr>
          <w:p w14:paraId="6A758628" w14:textId="77777777" w:rsidR="0080699A" w:rsidRPr="00983D95" w:rsidRDefault="0080699A" w:rsidP="00A5669F">
            <w:pPr>
              <w:rPr>
                <w:rFonts w:asciiTheme="minorHAnsi" w:hAnsiTheme="minorHAnsi" w:cs="Arial"/>
                <w:szCs w:val="20"/>
              </w:rPr>
            </w:pPr>
          </w:p>
        </w:tc>
        <w:tc>
          <w:tcPr>
            <w:tcW w:w="2152" w:type="dxa"/>
          </w:tcPr>
          <w:p w14:paraId="39A89BF3" w14:textId="77777777" w:rsidR="0080699A" w:rsidRPr="00983D95" w:rsidRDefault="006F56AA" w:rsidP="00A5669F">
            <w:pPr>
              <w:rPr>
                <w:rFonts w:asciiTheme="minorHAnsi" w:hAnsiTheme="minorHAnsi" w:cs="Arial"/>
                <w:szCs w:val="20"/>
              </w:rPr>
            </w:pPr>
            <w:r>
              <w:rPr>
                <w:rFonts w:asciiTheme="minorHAnsi" w:hAnsiTheme="minorHAnsi" w:cs="Arial"/>
                <w:szCs w:val="20"/>
              </w:rPr>
              <w:t xml:space="preserve">Godkendelse af ansøgninger over 1000 </w:t>
            </w:r>
            <w:proofErr w:type="spellStart"/>
            <w:r>
              <w:rPr>
                <w:rFonts w:asciiTheme="minorHAnsi" w:hAnsiTheme="minorHAnsi" w:cs="Arial"/>
                <w:szCs w:val="20"/>
              </w:rPr>
              <w:t>kr</w:t>
            </w:r>
            <w:proofErr w:type="spellEnd"/>
            <w:r>
              <w:rPr>
                <w:rFonts w:asciiTheme="minorHAnsi" w:hAnsiTheme="minorHAnsi" w:cs="Arial"/>
                <w:szCs w:val="20"/>
              </w:rPr>
              <w:t xml:space="preserve"> pr. studerende</w:t>
            </w:r>
          </w:p>
        </w:tc>
      </w:tr>
      <w:tr w:rsidR="0080699A" w:rsidRPr="00983D95" w14:paraId="02F0F3F3" w14:textId="77777777" w:rsidTr="00552A8E">
        <w:tc>
          <w:tcPr>
            <w:tcW w:w="7196" w:type="dxa"/>
          </w:tcPr>
          <w:p w14:paraId="317250FA" w14:textId="77777777" w:rsidR="0080699A" w:rsidRPr="003C2991" w:rsidRDefault="0080699A" w:rsidP="00A5669F">
            <w:pPr>
              <w:rPr>
                <w:rFonts w:asciiTheme="minorHAnsi" w:hAnsiTheme="minorHAnsi" w:cs="Arial"/>
                <w:szCs w:val="20"/>
                <w:u w:val="single"/>
              </w:rPr>
            </w:pPr>
            <w:r>
              <w:rPr>
                <w:rFonts w:asciiTheme="minorHAnsi" w:hAnsiTheme="minorHAnsi" w:cs="Arial"/>
                <w:szCs w:val="20"/>
                <w:u w:val="single"/>
              </w:rPr>
              <w:t xml:space="preserve">Udgifter til </w:t>
            </w:r>
            <w:r w:rsidRPr="003C2991">
              <w:rPr>
                <w:rFonts w:asciiTheme="minorHAnsi" w:hAnsiTheme="minorHAnsi" w:cs="Arial"/>
                <w:szCs w:val="20"/>
                <w:u w:val="single"/>
              </w:rPr>
              <w:t>gæsteforelæsninger</w:t>
            </w:r>
          </w:p>
          <w:p w14:paraId="09994DDB" w14:textId="66D55EF9" w:rsidR="0080699A" w:rsidRPr="003C2991" w:rsidRDefault="006F56AA" w:rsidP="00A5669F">
            <w:pPr>
              <w:rPr>
                <w:rFonts w:asciiTheme="minorHAnsi" w:hAnsiTheme="minorHAnsi" w:cs="Arial"/>
                <w:szCs w:val="20"/>
              </w:rPr>
            </w:pPr>
            <w:r>
              <w:rPr>
                <w:rFonts w:asciiTheme="minorHAnsi" w:hAnsiTheme="minorHAnsi" w:cs="Arial"/>
                <w:szCs w:val="20"/>
              </w:rPr>
              <w:t>Kan bevilges af studienævnets pulje</w:t>
            </w:r>
          </w:p>
          <w:p w14:paraId="594C8587" w14:textId="77777777" w:rsidR="0080699A" w:rsidRPr="003C2991" w:rsidRDefault="0080699A" w:rsidP="00552A8E">
            <w:pPr>
              <w:pStyle w:val="Listeafsnit"/>
              <w:ind w:left="360"/>
              <w:rPr>
                <w:rFonts w:asciiTheme="minorHAnsi" w:hAnsiTheme="minorHAnsi" w:cs="Arial"/>
                <w:szCs w:val="20"/>
                <w:u w:val="single"/>
              </w:rPr>
            </w:pPr>
          </w:p>
        </w:tc>
        <w:tc>
          <w:tcPr>
            <w:tcW w:w="2126" w:type="dxa"/>
          </w:tcPr>
          <w:p w14:paraId="67AB6402" w14:textId="77777777" w:rsidR="0080699A" w:rsidRPr="00983D95" w:rsidRDefault="0080699A" w:rsidP="00A5669F">
            <w:pPr>
              <w:rPr>
                <w:rFonts w:asciiTheme="minorHAnsi" w:hAnsiTheme="minorHAnsi" w:cs="Arial"/>
                <w:szCs w:val="20"/>
              </w:rPr>
            </w:pPr>
          </w:p>
        </w:tc>
        <w:tc>
          <w:tcPr>
            <w:tcW w:w="2178" w:type="dxa"/>
          </w:tcPr>
          <w:p w14:paraId="35288402" w14:textId="77777777" w:rsidR="0080699A" w:rsidRPr="00983D95" w:rsidRDefault="006F56AA" w:rsidP="00A5669F">
            <w:pPr>
              <w:rPr>
                <w:rFonts w:asciiTheme="minorHAnsi" w:hAnsiTheme="minorHAnsi" w:cs="Arial"/>
                <w:szCs w:val="20"/>
              </w:rPr>
            </w:pPr>
            <w:r>
              <w:rPr>
                <w:rFonts w:asciiTheme="minorHAnsi" w:hAnsiTheme="minorHAnsi" w:cs="Arial"/>
                <w:szCs w:val="20"/>
              </w:rPr>
              <w:t>Godkendelse eller afslag</w:t>
            </w:r>
          </w:p>
        </w:tc>
        <w:tc>
          <w:tcPr>
            <w:tcW w:w="2152" w:type="dxa"/>
          </w:tcPr>
          <w:p w14:paraId="6E5D0E0D" w14:textId="77777777" w:rsidR="0080699A" w:rsidRPr="00983D95" w:rsidRDefault="0080699A" w:rsidP="00A5669F">
            <w:pPr>
              <w:rPr>
                <w:rFonts w:asciiTheme="minorHAnsi" w:hAnsiTheme="minorHAnsi" w:cs="Arial"/>
                <w:szCs w:val="20"/>
              </w:rPr>
            </w:pPr>
          </w:p>
        </w:tc>
      </w:tr>
      <w:tr w:rsidR="00552A8E" w:rsidRPr="00983D95" w14:paraId="5AA4544E" w14:textId="77777777" w:rsidTr="00552A8E">
        <w:tc>
          <w:tcPr>
            <w:tcW w:w="7196" w:type="dxa"/>
            <w:shd w:val="clear" w:color="auto" w:fill="BFBFBF" w:themeFill="background1" w:themeFillShade="BF"/>
          </w:tcPr>
          <w:p w14:paraId="70CB620E" w14:textId="77777777" w:rsidR="00552A8E" w:rsidRPr="00983D95" w:rsidRDefault="00552A8E" w:rsidP="00552A8E">
            <w:pPr>
              <w:pStyle w:val="Listeafsnit"/>
              <w:ind w:left="368"/>
              <w:rPr>
                <w:rFonts w:asciiTheme="minorHAnsi" w:hAnsiTheme="minorHAnsi" w:cs="Arial"/>
                <w:sz w:val="20"/>
                <w:szCs w:val="20"/>
              </w:rPr>
            </w:pPr>
          </w:p>
        </w:tc>
        <w:tc>
          <w:tcPr>
            <w:tcW w:w="2126" w:type="dxa"/>
            <w:shd w:val="clear" w:color="auto" w:fill="BFBFBF" w:themeFill="background1" w:themeFillShade="BF"/>
          </w:tcPr>
          <w:p w14:paraId="457D9671" w14:textId="77777777" w:rsidR="00552A8E" w:rsidRPr="00983D95" w:rsidRDefault="00552A8E" w:rsidP="00A5669F">
            <w:pPr>
              <w:rPr>
                <w:rFonts w:asciiTheme="minorHAnsi" w:hAnsiTheme="minorHAnsi" w:cs="Arial"/>
                <w:szCs w:val="20"/>
              </w:rPr>
            </w:pPr>
          </w:p>
        </w:tc>
        <w:tc>
          <w:tcPr>
            <w:tcW w:w="2178" w:type="dxa"/>
            <w:shd w:val="clear" w:color="auto" w:fill="BFBFBF" w:themeFill="background1" w:themeFillShade="BF"/>
          </w:tcPr>
          <w:p w14:paraId="7E01586B" w14:textId="77777777" w:rsidR="00552A8E" w:rsidRPr="00983D95" w:rsidRDefault="00552A8E" w:rsidP="00A5669F">
            <w:pPr>
              <w:rPr>
                <w:rFonts w:asciiTheme="minorHAnsi" w:hAnsiTheme="minorHAnsi" w:cs="Arial"/>
                <w:szCs w:val="20"/>
              </w:rPr>
            </w:pPr>
          </w:p>
        </w:tc>
        <w:tc>
          <w:tcPr>
            <w:tcW w:w="2152" w:type="dxa"/>
            <w:shd w:val="clear" w:color="auto" w:fill="BFBFBF" w:themeFill="background1" w:themeFillShade="BF"/>
          </w:tcPr>
          <w:p w14:paraId="14AA0C3E" w14:textId="77777777" w:rsidR="00552A8E" w:rsidRPr="00983D95" w:rsidRDefault="00552A8E" w:rsidP="00A5669F">
            <w:pPr>
              <w:rPr>
                <w:rFonts w:asciiTheme="minorHAnsi" w:hAnsiTheme="minorHAnsi" w:cs="Arial"/>
                <w:szCs w:val="20"/>
              </w:rPr>
            </w:pPr>
          </w:p>
        </w:tc>
      </w:tr>
      <w:tr w:rsidR="00552A8E" w:rsidRPr="00983D95" w14:paraId="1585D402" w14:textId="77777777" w:rsidTr="00552A8E">
        <w:tc>
          <w:tcPr>
            <w:tcW w:w="7196" w:type="dxa"/>
          </w:tcPr>
          <w:p w14:paraId="6D430D80" w14:textId="5608922F" w:rsidR="00552A8E" w:rsidRPr="00983D95" w:rsidRDefault="00552A8E" w:rsidP="00A5669F">
            <w:pPr>
              <w:rPr>
                <w:rFonts w:asciiTheme="minorHAnsi" w:hAnsiTheme="minorHAnsi" w:cs="Arial"/>
                <w:szCs w:val="20"/>
              </w:rPr>
            </w:pPr>
            <w:r w:rsidRPr="00983D95">
              <w:rPr>
                <w:rFonts w:asciiTheme="minorHAnsi" w:hAnsiTheme="minorHAnsi" w:cs="Arial"/>
                <w:b/>
                <w:szCs w:val="20"/>
              </w:rPr>
              <w:t>Øvrige</w:t>
            </w:r>
          </w:p>
        </w:tc>
        <w:tc>
          <w:tcPr>
            <w:tcW w:w="2126" w:type="dxa"/>
          </w:tcPr>
          <w:p w14:paraId="4069C72F" w14:textId="77777777" w:rsidR="00552A8E" w:rsidRPr="00983D95" w:rsidRDefault="00552A8E" w:rsidP="00A5669F">
            <w:pPr>
              <w:rPr>
                <w:rFonts w:asciiTheme="minorHAnsi" w:hAnsiTheme="minorHAnsi" w:cs="Arial"/>
                <w:szCs w:val="20"/>
              </w:rPr>
            </w:pPr>
          </w:p>
        </w:tc>
        <w:tc>
          <w:tcPr>
            <w:tcW w:w="2178" w:type="dxa"/>
          </w:tcPr>
          <w:p w14:paraId="350B2E44" w14:textId="77777777" w:rsidR="00552A8E" w:rsidRPr="00983D95" w:rsidRDefault="00552A8E" w:rsidP="00A5669F">
            <w:pPr>
              <w:rPr>
                <w:rFonts w:asciiTheme="minorHAnsi" w:hAnsiTheme="minorHAnsi" w:cs="Arial"/>
                <w:szCs w:val="20"/>
              </w:rPr>
            </w:pPr>
          </w:p>
        </w:tc>
        <w:tc>
          <w:tcPr>
            <w:tcW w:w="2152" w:type="dxa"/>
          </w:tcPr>
          <w:p w14:paraId="08FAB887" w14:textId="77777777" w:rsidR="00552A8E" w:rsidRPr="00983D95" w:rsidRDefault="00552A8E" w:rsidP="00A5669F">
            <w:pPr>
              <w:rPr>
                <w:rFonts w:asciiTheme="minorHAnsi" w:hAnsiTheme="minorHAnsi" w:cs="Arial"/>
                <w:szCs w:val="20"/>
              </w:rPr>
            </w:pPr>
          </w:p>
        </w:tc>
      </w:tr>
      <w:tr w:rsidR="00552A8E" w:rsidRPr="00983D95" w14:paraId="234B755F" w14:textId="77777777" w:rsidTr="00552A8E">
        <w:tc>
          <w:tcPr>
            <w:tcW w:w="7196" w:type="dxa"/>
          </w:tcPr>
          <w:p w14:paraId="33BAD933" w14:textId="77777777" w:rsidR="00552A8E" w:rsidRPr="00983D95" w:rsidRDefault="00552A8E" w:rsidP="00A5669F">
            <w:pPr>
              <w:rPr>
                <w:rFonts w:asciiTheme="minorHAnsi" w:hAnsiTheme="minorHAnsi" w:cs="Arial"/>
                <w:szCs w:val="20"/>
                <w:u w:val="single"/>
              </w:rPr>
            </w:pPr>
            <w:r w:rsidRPr="00983D95">
              <w:rPr>
                <w:rFonts w:asciiTheme="minorHAnsi" w:hAnsiTheme="minorHAnsi" w:cs="Arial"/>
                <w:szCs w:val="20"/>
                <w:u w:val="single"/>
              </w:rPr>
              <w:t>Ækvivalensvurderinger</w:t>
            </w:r>
          </w:p>
          <w:p w14:paraId="222B3D0A" w14:textId="77777777" w:rsidR="00552A8E" w:rsidRPr="00983D95" w:rsidRDefault="00552A8E" w:rsidP="00A5669F">
            <w:pPr>
              <w:rPr>
                <w:rFonts w:asciiTheme="minorHAnsi" w:hAnsiTheme="minorHAnsi" w:cs="Arial"/>
                <w:szCs w:val="20"/>
              </w:rPr>
            </w:pPr>
          </w:p>
          <w:p w14:paraId="4A2316B6" w14:textId="6FD1755B" w:rsidR="00552A8E" w:rsidRPr="00983D95" w:rsidRDefault="00552A8E" w:rsidP="00A5669F">
            <w:pPr>
              <w:rPr>
                <w:rFonts w:asciiTheme="minorHAnsi" w:hAnsiTheme="minorHAnsi" w:cs="Arial"/>
                <w:szCs w:val="20"/>
                <w:u w:val="single"/>
              </w:rPr>
            </w:pPr>
            <w:r w:rsidRPr="00983D95">
              <w:rPr>
                <w:rFonts w:asciiTheme="minorHAnsi" w:hAnsiTheme="minorHAnsi" w:cs="Arial"/>
                <w:szCs w:val="20"/>
              </w:rPr>
              <w:t>Studienævnet vurdere</w:t>
            </w:r>
            <w:r>
              <w:rPr>
                <w:rFonts w:asciiTheme="minorHAnsi" w:hAnsiTheme="minorHAnsi" w:cs="Arial"/>
                <w:szCs w:val="20"/>
              </w:rPr>
              <w:t>r</w:t>
            </w:r>
            <w:r w:rsidRPr="00983D95">
              <w:rPr>
                <w:rFonts w:asciiTheme="minorHAnsi" w:hAnsiTheme="minorHAnsi" w:cs="Arial"/>
                <w:szCs w:val="20"/>
              </w:rPr>
              <w:t xml:space="preserve"> graden af ækvivalens mellem uddan</w:t>
            </w:r>
            <w:r>
              <w:rPr>
                <w:rFonts w:asciiTheme="minorHAnsi" w:hAnsiTheme="minorHAnsi" w:cs="Arial"/>
                <w:szCs w:val="20"/>
              </w:rPr>
              <w:t>n</w:t>
            </w:r>
            <w:r w:rsidRPr="00983D95">
              <w:rPr>
                <w:rFonts w:asciiTheme="minorHAnsi" w:hAnsiTheme="minorHAnsi" w:cs="Arial"/>
                <w:szCs w:val="20"/>
              </w:rPr>
              <w:t>elser</w:t>
            </w:r>
            <w:r>
              <w:rPr>
                <w:rFonts w:asciiTheme="minorHAnsi" w:hAnsiTheme="minorHAnsi" w:cs="Arial"/>
                <w:szCs w:val="20"/>
              </w:rPr>
              <w:t>,</w:t>
            </w:r>
            <w:r w:rsidRPr="00983D95">
              <w:rPr>
                <w:rFonts w:asciiTheme="minorHAnsi" w:hAnsiTheme="minorHAnsi" w:cs="Arial"/>
                <w:szCs w:val="20"/>
              </w:rPr>
              <w:t xml:space="preserve"> såfremt ansøger har en uddannelse fra AAU, som høre</w:t>
            </w:r>
            <w:r>
              <w:rPr>
                <w:rFonts w:asciiTheme="minorHAnsi" w:hAnsiTheme="minorHAnsi" w:cs="Arial"/>
                <w:szCs w:val="20"/>
              </w:rPr>
              <w:t>r</w:t>
            </w:r>
            <w:r w:rsidRPr="00983D95">
              <w:rPr>
                <w:rFonts w:asciiTheme="minorHAnsi" w:hAnsiTheme="minorHAnsi" w:cs="Arial"/>
                <w:szCs w:val="20"/>
              </w:rPr>
              <w:t xml:space="preserve"> under K-SN eller ansøger søger om optagelse på en uddannelse under K-SN.</w:t>
            </w:r>
          </w:p>
        </w:tc>
        <w:tc>
          <w:tcPr>
            <w:tcW w:w="2126" w:type="dxa"/>
          </w:tcPr>
          <w:p w14:paraId="3F2B109F" w14:textId="77777777" w:rsidR="00552A8E" w:rsidRPr="00983D95" w:rsidRDefault="00552A8E" w:rsidP="00A5669F">
            <w:pPr>
              <w:rPr>
                <w:rFonts w:asciiTheme="minorHAnsi" w:hAnsiTheme="minorHAnsi" w:cs="Arial"/>
                <w:szCs w:val="20"/>
              </w:rPr>
            </w:pPr>
          </w:p>
        </w:tc>
        <w:tc>
          <w:tcPr>
            <w:tcW w:w="2178" w:type="dxa"/>
          </w:tcPr>
          <w:p w14:paraId="722968B1" w14:textId="51902443" w:rsidR="00552A8E" w:rsidRPr="00983D95" w:rsidRDefault="00552A8E" w:rsidP="00A5669F">
            <w:pPr>
              <w:rPr>
                <w:rFonts w:asciiTheme="minorHAnsi" w:hAnsiTheme="minorHAnsi" w:cs="Arial"/>
                <w:szCs w:val="20"/>
              </w:rPr>
            </w:pPr>
            <w:r w:rsidRPr="00983D95">
              <w:rPr>
                <w:rFonts w:asciiTheme="minorHAnsi" w:hAnsiTheme="minorHAnsi" w:cs="Arial"/>
                <w:szCs w:val="20"/>
              </w:rPr>
              <w:t>Udarbejdelse, evt i samarbejde med SN-medlem eller anden medarbejder fra berørte sektion</w:t>
            </w:r>
          </w:p>
        </w:tc>
        <w:tc>
          <w:tcPr>
            <w:tcW w:w="2152" w:type="dxa"/>
          </w:tcPr>
          <w:p w14:paraId="39A252B3" w14:textId="21CBF017" w:rsidR="00552A8E" w:rsidRPr="00983D95" w:rsidRDefault="00552A8E" w:rsidP="00A5669F">
            <w:pPr>
              <w:rPr>
                <w:rFonts w:asciiTheme="minorHAnsi" w:hAnsiTheme="minorHAnsi" w:cs="Arial"/>
                <w:szCs w:val="20"/>
              </w:rPr>
            </w:pPr>
            <w:r w:rsidRPr="00983D95">
              <w:rPr>
                <w:rFonts w:asciiTheme="minorHAnsi" w:hAnsiTheme="minorHAnsi" w:cs="Arial"/>
                <w:szCs w:val="20"/>
              </w:rPr>
              <w:t>SN kan søge indsigt i ækvivalens-vurderingerne</w:t>
            </w:r>
          </w:p>
        </w:tc>
      </w:tr>
      <w:tr w:rsidR="00552A8E" w:rsidRPr="00983D95" w14:paraId="2895ED3B" w14:textId="77777777" w:rsidTr="00552A8E">
        <w:tc>
          <w:tcPr>
            <w:tcW w:w="7196" w:type="dxa"/>
          </w:tcPr>
          <w:p w14:paraId="7FD1B2CC" w14:textId="77777777" w:rsidR="00552A8E" w:rsidRDefault="00552A8E" w:rsidP="00A5669F">
            <w:pPr>
              <w:rPr>
                <w:rFonts w:asciiTheme="minorHAnsi" w:hAnsiTheme="minorHAnsi" w:cs="Arial"/>
                <w:szCs w:val="20"/>
                <w:u w:val="single"/>
              </w:rPr>
            </w:pPr>
            <w:r>
              <w:rPr>
                <w:rFonts w:asciiTheme="minorHAnsi" w:hAnsiTheme="minorHAnsi" w:cs="Arial"/>
                <w:szCs w:val="20"/>
                <w:u w:val="single"/>
              </w:rPr>
              <w:t>Frafaldstruede studerende</w:t>
            </w:r>
          </w:p>
          <w:p w14:paraId="2AC52E9A" w14:textId="77777777" w:rsidR="00552A8E" w:rsidRPr="002675F8" w:rsidRDefault="00552A8E" w:rsidP="00A5669F">
            <w:pPr>
              <w:rPr>
                <w:rFonts w:asciiTheme="minorHAnsi" w:hAnsiTheme="minorHAnsi" w:cs="Arial"/>
                <w:szCs w:val="20"/>
              </w:rPr>
            </w:pPr>
          </w:p>
          <w:p w14:paraId="69999266" w14:textId="77777777" w:rsidR="00552A8E" w:rsidRDefault="00552A8E" w:rsidP="00A5669F">
            <w:pPr>
              <w:rPr>
                <w:rFonts w:asciiTheme="minorHAnsi" w:hAnsiTheme="minorHAnsi" w:cs="Arial"/>
                <w:szCs w:val="20"/>
              </w:rPr>
            </w:pPr>
            <w:r w:rsidRPr="002675F8">
              <w:rPr>
                <w:rFonts w:asciiTheme="minorHAnsi" w:hAnsiTheme="minorHAnsi" w:cs="Arial"/>
                <w:szCs w:val="20"/>
              </w:rPr>
              <w:t>Procedure for vejledni</w:t>
            </w:r>
            <w:r>
              <w:rPr>
                <w:rFonts w:asciiTheme="minorHAnsi" w:hAnsiTheme="minorHAnsi" w:cs="Arial"/>
                <w:szCs w:val="20"/>
              </w:rPr>
              <w:t>n</w:t>
            </w:r>
            <w:r w:rsidRPr="002675F8">
              <w:rPr>
                <w:rFonts w:asciiTheme="minorHAnsi" w:hAnsiTheme="minorHAnsi" w:cs="Arial"/>
                <w:szCs w:val="20"/>
              </w:rPr>
              <w:t>g af frafaldstruede studerende findes her</w:t>
            </w:r>
          </w:p>
          <w:p w14:paraId="1A87B9E2" w14:textId="162368DA" w:rsidR="00552A8E" w:rsidRPr="00983D95" w:rsidRDefault="00686C80" w:rsidP="00A5669F">
            <w:pPr>
              <w:rPr>
                <w:rFonts w:asciiTheme="minorHAnsi" w:hAnsiTheme="minorHAnsi" w:cs="Arial"/>
                <w:szCs w:val="20"/>
              </w:rPr>
            </w:pPr>
            <w:hyperlink r:id="rId18" w:history="1">
              <w:r w:rsidR="000E32E4" w:rsidRPr="009452D7">
                <w:rPr>
                  <w:rStyle w:val="Hyperlink"/>
                  <w:rFonts w:asciiTheme="minorHAnsi" w:hAnsiTheme="minorHAnsi" w:cs="Arial"/>
                  <w:szCs w:val="20"/>
                </w:rPr>
                <w:t>https://www.kvalitet.aau.dk/digitalAssets/982/982618_procedure-vedr.-vejledning-af-frafaldstruede-studerende-2019.pdf</w:t>
              </w:r>
            </w:hyperlink>
            <w:r w:rsidR="000E32E4">
              <w:rPr>
                <w:rFonts w:asciiTheme="minorHAnsi" w:hAnsiTheme="minorHAnsi" w:cs="Arial"/>
                <w:szCs w:val="20"/>
              </w:rPr>
              <w:t xml:space="preserve"> </w:t>
            </w:r>
          </w:p>
        </w:tc>
        <w:tc>
          <w:tcPr>
            <w:tcW w:w="2126" w:type="dxa"/>
          </w:tcPr>
          <w:p w14:paraId="5D88940E" w14:textId="77777777" w:rsidR="00552A8E" w:rsidRDefault="00552A8E" w:rsidP="00A5669F">
            <w:pPr>
              <w:rPr>
                <w:rFonts w:asciiTheme="minorHAnsi" w:hAnsiTheme="minorHAnsi" w:cs="Arial"/>
                <w:szCs w:val="20"/>
              </w:rPr>
            </w:pPr>
            <w:r>
              <w:rPr>
                <w:rFonts w:asciiTheme="minorHAnsi" w:hAnsiTheme="minorHAnsi" w:cs="Arial"/>
                <w:szCs w:val="20"/>
              </w:rPr>
              <w:t>Vejledning af studerende i 'gul og rød kategori' og udarbejdelse af studiehandlingsplaner.</w:t>
            </w:r>
          </w:p>
          <w:p w14:paraId="5BA4C77C" w14:textId="77777777" w:rsidR="00552A8E" w:rsidRDefault="00552A8E" w:rsidP="00A5669F">
            <w:pPr>
              <w:rPr>
                <w:rFonts w:asciiTheme="minorHAnsi" w:hAnsiTheme="minorHAnsi" w:cs="Arial"/>
                <w:szCs w:val="20"/>
              </w:rPr>
            </w:pPr>
          </w:p>
          <w:p w14:paraId="63F2D88F" w14:textId="145F1B18" w:rsidR="00552A8E" w:rsidRPr="00983D95" w:rsidRDefault="00552A8E" w:rsidP="00A5669F">
            <w:pPr>
              <w:rPr>
                <w:rFonts w:asciiTheme="minorHAnsi" w:hAnsiTheme="minorHAnsi" w:cs="Arial"/>
                <w:szCs w:val="20"/>
              </w:rPr>
            </w:pPr>
            <w:r>
              <w:rPr>
                <w:rFonts w:asciiTheme="minorHAnsi" w:hAnsiTheme="minorHAnsi" w:cs="Arial"/>
                <w:szCs w:val="20"/>
              </w:rPr>
              <w:t>Denne funktion kan delegeres til decentral studievejleder eller SN-medlem (især i ESB)</w:t>
            </w:r>
          </w:p>
        </w:tc>
        <w:tc>
          <w:tcPr>
            <w:tcW w:w="2178" w:type="dxa"/>
          </w:tcPr>
          <w:p w14:paraId="0986330B" w14:textId="77777777" w:rsidR="00552A8E" w:rsidRDefault="00552A8E" w:rsidP="00A5669F">
            <w:pPr>
              <w:rPr>
                <w:rFonts w:asciiTheme="minorHAnsi" w:hAnsiTheme="minorHAnsi" w:cs="Arial"/>
                <w:szCs w:val="20"/>
              </w:rPr>
            </w:pPr>
            <w:r>
              <w:rPr>
                <w:rFonts w:asciiTheme="minorHAnsi" w:hAnsiTheme="minorHAnsi" w:cs="Arial"/>
                <w:szCs w:val="20"/>
              </w:rPr>
              <w:t>Vejledning af studerende i 'rød kategori' og udarbejdelse af studiehandlingsplan</w:t>
            </w:r>
          </w:p>
          <w:p w14:paraId="7C60EDBB" w14:textId="77777777" w:rsidR="00552A8E" w:rsidRDefault="00552A8E" w:rsidP="00A5669F">
            <w:pPr>
              <w:rPr>
                <w:rFonts w:asciiTheme="minorHAnsi" w:hAnsiTheme="minorHAnsi" w:cs="Arial"/>
                <w:szCs w:val="20"/>
              </w:rPr>
            </w:pPr>
          </w:p>
          <w:p w14:paraId="766ACE65" w14:textId="07CE0B96" w:rsidR="00552A8E" w:rsidRPr="00983D95" w:rsidRDefault="00552A8E" w:rsidP="00A5669F">
            <w:pPr>
              <w:rPr>
                <w:rFonts w:asciiTheme="minorHAnsi" w:hAnsiTheme="minorHAnsi" w:cs="Arial"/>
                <w:szCs w:val="20"/>
              </w:rPr>
            </w:pPr>
            <w:r>
              <w:rPr>
                <w:rFonts w:asciiTheme="minorHAnsi" w:hAnsiTheme="minorHAnsi" w:cs="Arial"/>
                <w:szCs w:val="20"/>
              </w:rPr>
              <w:t>Denne funktion kan delegeres til SN-sekretær, decentral studievejleder eller SN-medlem i relevant sektion (især i ESB)</w:t>
            </w:r>
          </w:p>
        </w:tc>
        <w:tc>
          <w:tcPr>
            <w:tcW w:w="2152" w:type="dxa"/>
          </w:tcPr>
          <w:p w14:paraId="7A7D00D5" w14:textId="1994579A" w:rsidR="00552A8E" w:rsidRPr="00983D95" w:rsidRDefault="00552A8E" w:rsidP="00A5669F">
            <w:pPr>
              <w:rPr>
                <w:rFonts w:asciiTheme="minorHAnsi" w:hAnsiTheme="minorHAnsi" w:cs="Arial"/>
                <w:szCs w:val="20"/>
              </w:rPr>
            </w:pPr>
          </w:p>
        </w:tc>
      </w:tr>
      <w:tr w:rsidR="00552A8E" w:rsidRPr="00983D95" w14:paraId="34F147F0" w14:textId="77777777" w:rsidTr="00552A8E">
        <w:tc>
          <w:tcPr>
            <w:tcW w:w="7196" w:type="dxa"/>
          </w:tcPr>
          <w:p w14:paraId="4CD792AF" w14:textId="77777777" w:rsidR="00552A8E" w:rsidRPr="000C197B" w:rsidRDefault="00552A8E" w:rsidP="00A5669F">
            <w:pPr>
              <w:rPr>
                <w:rFonts w:asciiTheme="minorHAnsi" w:hAnsiTheme="minorHAnsi" w:cs="Arial"/>
                <w:szCs w:val="20"/>
                <w:u w:val="single"/>
              </w:rPr>
            </w:pPr>
            <w:r w:rsidRPr="000C197B">
              <w:rPr>
                <w:rFonts w:asciiTheme="minorHAnsi" w:hAnsiTheme="minorHAnsi" w:cs="Arial"/>
                <w:szCs w:val="20"/>
                <w:u w:val="single"/>
              </w:rPr>
              <w:t>Opsplitning af projektgrupper</w:t>
            </w:r>
          </w:p>
          <w:p w14:paraId="052333BF" w14:textId="77777777" w:rsidR="00552A8E" w:rsidRDefault="00552A8E" w:rsidP="00A5669F">
            <w:pPr>
              <w:rPr>
                <w:rFonts w:asciiTheme="minorHAnsi" w:hAnsiTheme="minorHAnsi" w:cs="Arial"/>
                <w:szCs w:val="20"/>
              </w:rPr>
            </w:pPr>
          </w:p>
          <w:p w14:paraId="5EC168A9" w14:textId="6AF179B9" w:rsidR="00552A8E" w:rsidRPr="00983D95" w:rsidRDefault="00552A8E" w:rsidP="003F5190">
            <w:pPr>
              <w:rPr>
                <w:rFonts w:asciiTheme="minorHAnsi" w:hAnsiTheme="minorHAnsi" w:cs="Arial"/>
                <w:szCs w:val="20"/>
                <w:u w:val="single"/>
              </w:rPr>
            </w:pPr>
          </w:p>
        </w:tc>
        <w:tc>
          <w:tcPr>
            <w:tcW w:w="2126" w:type="dxa"/>
          </w:tcPr>
          <w:p w14:paraId="07DD1818" w14:textId="3284D6A4" w:rsidR="00552A8E" w:rsidRPr="00983D95" w:rsidRDefault="00552A8E" w:rsidP="00A5669F">
            <w:pPr>
              <w:rPr>
                <w:rFonts w:asciiTheme="minorHAnsi" w:hAnsiTheme="minorHAnsi" w:cs="Arial"/>
                <w:szCs w:val="20"/>
              </w:rPr>
            </w:pPr>
          </w:p>
        </w:tc>
        <w:tc>
          <w:tcPr>
            <w:tcW w:w="2178" w:type="dxa"/>
          </w:tcPr>
          <w:p w14:paraId="24C33674" w14:textId="6C0AFB18" w:rsidR="00552A8E" w:rsidRPr="00983D95" w:rsidRDefault="00552A8E" w:rsidP="00A5669F">
            <w:pPr>
              <w:rPr>
                <w:rFonts w:asciiTheme="minorHAnsi" w:hAnsiTheme="minorHAnsi" w:cs="Arial"/>
                <w:szCs w:val="20"/>
              </w:rPr>
            </w:pPr>
            <w:r>
              <w:rPr>
                <w:rFonts w:asciiTheme="minorHAnsi" w:hAnsiTheme="minorHAnsi" w:cs="Arial"/>
                <w:szCs w:val="20"/>
              </w:rPr>
              <w:t>Afgørelse træffes i samarbejde med vejleder og evt. semester-koordinator</w:t>
            </w:r>
          </w:p>
        </w:tc>
        <w:tc>
          <w:tcPr>
            <w:tcW w:w="2152" w:type="dxa"/>
          </w:tcPr>
          <w:p w14:paraId="700CC512" w14:textId="77777777" w:rsidR="00552A8E" w:rsidRPr="00983D95" w:rsidRDefault="00552A8E" w:rsidP="00A5669F">
            <w:pPr>
              <w:rPr>
                <w:rFonts w:asciiTheme="minorHAnsi" w:hAnsiTheme="minorHAnsi" w:cs="Arial"/>
                <w:szCs w:val="20"/>
              </w:rPr>
            </w:pPr>
          </w:p>
        </w:tc>
      </w:tr>
      <w:tr w:rsidR="00552A8E" w:rsidRPr="00983D95" w14:paraId="795EA084" w14:textId="77777777" w:rsidTr="00552A8E">
        <w:tc>
          <w:tcPr>
            <w:tcW w:w="7196" w:type="dxa"/>
          </w:tcPr>
          <w:p w14:paraId="7C4FAC32" w14:textId="77777777" w:rsidR="00552A8E" w:rsidRPr="00B7385D" w:rsidRDefault="00552A8E" w:rsidP="00320884">
            <w:pPr>
              <w:spacing w:line="276" w:lineRule="auto"/>
              <w:rPr>
                <w:rFonts w:asciiTheme="minorHAnsi" w:hAnsiTheme="minorHAnsi" w:cs="Arial"/>
                <w:szCs w:val="20"/>
                <w:u w:val="single"/>
              </w:rPr>
            </w:pPr>
            <w:r w:rsidRPr="00B7385D">
              <w:rPr>
                <w:rFonts w:asciiTheme="minorHAnsi" w:hAnsiTheme="minorHAnsi" w:cs="Arial"/>
                <w:szCs w:val="20"/>
                <w:u w:val="single"/>
              </w:rPr>
              <w:t>Reeksamination i projekter</w:t>
            </w:r>
          </w:p>
          <w:p w14:paraId="178DEA56" w14:textId="77777777" w:rsidR="00552A8E" w:rsidRPr="00B7385D" w:rsidRDefault="00552A8E" w:rsidP="00320884">
            <w:pPr>
              <w:spacing w:line="276" w:lineRule="auto"/>
              <w:rPr>
                <w:rFonts w:asciiTheme="minorHAnsi" w:hAnsiTheme="minorHAnsi" w:cs="Arial"/>
                <w:szCs w:val="20"/>
                <w:u w:val="single"/>
              </w:rPr>
            </w:pPr>
          </w:p>
          <w:p w14:paraId="3A639592" w14:textId="77777777" w:rsidR="00552A8E" w:rsidRPr="00B7385D" w:rsidRDefault="00552A8E" w:rsidP="00320884">
            <w:pPr>
              <w:spacing w:line="276" w:lineRule="auto"/>
              <w:rPr>
                <w:rFonts w:asciiTheme="minorHAnsi" w:hAnsiTheme="minorHAnsi" w:cs="Arial"/>
                <w:szCs w:val="20"/>
              </w:rPr>
            </w:pPr>
            <w:r w:rsidRPr="00B7385D">
              <w:rPr>
                <w:rFonts w:asciiTheme="minorHAnsi" w:hAnsiTheme="minorHAnsi" w:cs="Arial"/>
                <w:szCs w:val="20"/>
              </w:rPr>
              <w:t>Retningslinjer jvf. Eksamensordning</w:t>
            </w:r>
            <w:r>
              <w:rPr>
                <w:rFonts w:asciiTheme="minorHAnsi" w:hAnsiTheme="minorHAnsi" w:cs="Arial"/>
                <w:szCs w:val="20"/>
              </w:rPr>
              <w:t>, Bilag 4</w:t>
            </w:r>
          </w:p>
          <w:p w14:paraId="53384A91" w14:textId="5FD7BF34" w:rsidR="00C776AA" w:rsidRPr="00C776AA" w:rsidRDefault="00C776AA" w:rsidP="00C776AA">
            <w:pPr>
              <w:numPr>
                <w:ilvl w:val="0"/>
                <w:numId w:val="11"/>
              </w:numPr>
              <w:contextualSpacing/>
              <w:rPr>
                <w:rFonts w:asciiTheme="minorHAnsi" w:hAnsiTheme="minorHAnsi" w:cs="Arial"/>
                <w:szCs w:val="20"/>
              </w:rPr>
            </w:pPr>
            <w:r w:rsidRPr="00C776AA">
              <w:rPr>
                <w:rFonts w:asciiTheme="minorHAnsi" w:hAnsiTheme="minorHAnsi" w:cs="Arial"/>
                <w:szCs w:val="20"/>
              </w:rPr>
              <w:t>Skyldes reeksamen, at den studerende ikke har bestået prøven, skal der på hovedvejlederens foranledning og senest 8 dage efter prøvens afholdelse udarbejdes en kort, skriftlig redegørelse, der tilsendes</w:t>
            </w:r>
            <w:r>
              <w:rPr>
                <w:rFonts w:asciiTheme="minorHAnsi" w:hAnsiTheme="minorHAnsi" w:cs="Arial"/>
                <w:szCs w:val="20"/>
              </w:rPr>
              <w:t xml:space="preserve"> </w:t>
            </w:r>
            <w:r w:rsidRPr="00C776AA">
              <w:rPr>
                <w:rFonts w:asciiTheme="minorHAnsi" w:hAnsiTheme="minorHAnsi" w:cs="Arial"/>
                <w:szCs w:val="20"/>
              </w:rPr>
              <w:t>den studerende og studienævnet. Redegørelsen skal omfatte information om årsagen til, at den studerendes præstation ikke kunne anses for at opfylde projektets mål, samt en begrundet indstilling, der angiver på hvilken af ovenstående måder, reeksamen bør foregå. I tilknytning hertil gives vejledning til den</w:t>
            </w:r>
            <w:r>
              <w:rPr>
                <w:rFonts w:asciiTheme="minorHAnsi" w:hAnsiTheme="minorHAnsi" w:cs="Arial"/>
                <w:szCs w:val="20"/>
              </w:rPr>
              <w:t xml:space="preserve"> </w:t>
            </w:r>
            <w:r w:rsidRPr="00C776AA">
              <w:rPr>
                <w:rFonts w:asciiTheme="minorHAnsi" w:hAnsiTheme="minorHAnsi" w:cs="Arial"/>
                <w:szCs w:val="20"/>
              </w:rPr>
              <w:t xml:space="preserve">studerende om hvilke forbedringer, der vil kunne føre til, at den studerende kan opfylde projektets læringsmål. </w:t>
            </w:r>
          </w:p>
          <w:p w14:paraId="725B5CB1" w14:textId="21FAB653" w:rsidR="00C776AA" w:rsidRPr="00C776AA" w:rsidRDefault="00C776AA" w:rsidP="00C776AA">
            <w:pPr>
              <w:numPr>
                <w:ilvl w:val="0"/>
                <w:numId w:val="11"/>
              </w:numPr>
              <w:contextualSpacing/>
              <w:rPr>
                <w:rFonts w:asciiTheme="minorHAnsi" w:hAnsiTheme="minorHAnsi" w:cs="Arial"/>
                <w:szCs w:val="20"/>
              </w:rPr>
            </w:pPr>
            <w:r w:rsidRPr="00C776AA">
              <w:rPr>
                <w:rFonts w:asciiTheme="minorHAnsi" w:hAnsiTheme="minorHAnsi" w:cs="Arial"/>
                <w:szCs w:val="20"/>
              </w:rPr>
              <w:lastRenderedPageBreak/>
              <w:t>Studienævnet træffer beslutning om den måde, hvorpå reeksamen skal foregå. Beslutningen træffes på</w:t>
            </w:r>
            <w:r>
              <w:rPr>
                <w:rFonts w:asciiTheme="minorHAnsi" w:hAnsiTheme="minorHAnsi" w:cs="Arial"/>
                <w:szCs w:val="20"/>
              </w:rPr>
              <w:t xml:space="preserve"> </w:t>
            </w:r>
            <w:r w:rsidRPr="00C776AA">
              <w:rPr>
                <w:rFonts w:asciiTheme="minorHAnsi" w:hAnsiTheme="minorHAnsi" w:cs="Arial"/>
                <w:szCs w:val="20"/>
              </w:rPr>
              <w:t>baggrund af indstillingen fra hovedvejlederen</w:t>
            </w:r>
            <w:r>
              <w:rPr>
                <w:rFonts w:asciiTheme="minorHAnsi" w:hAnsiTheme="minorHAnsi" w:cs="Arial"/>
                <w:szCs w:val="20"/>
              </w:rPr>
              <w:t>.</w:t>
            </w:r>
            <w:r w:rsidRPr="00C776AA">
              <w:rPr>
                <w:rFonts w:asciiTheme="minorHAnsi" w:hAnsiTheme="minorHAnsi" w:cs="Arial"/>
                <w:szCs w:val="20"/>
              </w:rPr>
              <w:t xml:space="preserve"> </w:t>
            </w:r>
          </w:p>
          <w:p w14:paraId="08C97BAF" w14:textId="2A314CA5" w:rsidR="00552A8E" w:rsidRPr="006967EB" w:rsidRDefault="00552A8E" w:rsidP="00C776AA">
            <w:pPr>
              <w:pStyle w:val="Listeafsnit"/>
              <w:ind w:left="360"/>
              <w:rPr>
                <w:rFonts w:asciiTheme="minorHAnsi" w:hAnsiTheme="minorHAnsi" w:cs="Arial"/>
                <w:szCs w:val="20"/>
              </w:rPr>
            </w:pPr>
          </w:p>
        </w:tc>
        <w:tc>
          <w:tcPr>
            <w:tcW w:w="2126" w:type="dxa"/>
          </w:tcPr>
          <w:p w14:paraId="349AAE09" w14:textId="7AB2AF6A" w:rsidR="00552A8E" w:rsidRPr="008B2A80" w:rsidRDefault="00552A8E" w:rsidP="00A5669F">
            <w:pPr>
              <w:rPr>
                <w:rFonts w:asciiTheme="minorHAnsi" w:hAnsiTheme="minorHAnsi" w:cs="Arial"/>
                <w:szCs w:val="20"/>
              </w:rPr>
            </w:pPr>
            <w:r w:rsidRPr="00320884">
              <w:rPr>
                <w:rFonts w:asciiTheme="minorHAnsi" w:hAnsiTheme="minorHAnsi" w:cs="Arial"/>
                <w:szCs w:val="20"/>
              </w:rPr>
              <w:lastRenderedPageBreak/>
              <w:t>Godkendelse hvor studerende til</w:t>
            </w:r>
            <w:r>
              <w:rPr>
                <w:rFonts w:asciiTheme="minorHAnsi" w:hAnsiTheme="minorHAnsi" w:cs="Arial"/>
                <w:szCs w:val="20"/>
              </w:rPr>
              <w:t>s</w:t>
            </w:r>
            <w:r w:rsidRPr="00320884">
              <w:rPr>
                <w:rFonts w:asciiTheme="minorHAnsi" w:hAnsiTheme="minorHAnsi" w:cs="Arial"/>
                <w:szCs w:val="20"/>
              </w:rPr>
              <w:t>lutter sig eller ikke gør indsigelse mod vejleders anbefaling</w:t>
            </w:r>
          </w:p>
        </w:tc>
        <w:tc>
          <w:tcPr>
            <w:tcW w:w="2178" w:type="dxa"/>
          </w:tcPr>
          <w:p w14:paraId="2D13515C" w14:textId="10D7C335" w:rsidR="00552A8E" w:rsidRPr="008B2A80" w:rsidRDefault="00552A8E" w:rsidP="000C197B">
            <w:pPr>
              <w:rPr>
                <w:rFonts w:asciiTheme="minorHAnsi" w:hAnsiTheme="minorHAnsi" w:cs="Arial"/>
                <w:szCs w:val="20"/>
              </w:rPr>
            </w:pPr>
            <w:r w:rsidRPr="00320884">
              <w:rPr>
                <w:rFonts w:asciiTheme="minorHAnsi" w:hAnsiTheme="minorHAnsi" w:cs="Arial"/>
                <w:szCs w:val="20"/>
              </w:rPr>
              <w:t>Godkendelse hvor studerende gør indsigelse mod vejleders anbefaling, i enighed med vejleder og relevant studienævnsmedlem</w:t>
            </w:r>
          </w:p>
        </w:tc>
        <w:tc>
          <w:tcPr>
            <w:tcW w:w="2152" w:type="dxa"/>
          </w:tcPr>
          <w:p w14:paraId="5924F1D7" w14:textId="77777777" w:rsidR="00552A8E" w:rsidRPr="008B2A80" w:rsidRDefault="00552A8E" w:rsidP="00A5669F">
            <w:pPr>
              <w:rPr>
                <w:rFonts w:asciiTheme="minorHAnsi" w:hAnsiTheme="minorHAnsi" w:cs="Arial"/>
                <w:szCs w:val="20"/>
              </w:rPr>
            </w:pPr>
          </w:p>
        </w:tc>
      </w:tr>
      <w:tr w:rsidR="00552A8E" w:rsidRPr="00983D95" w14:paraId="2ADD020F" w14:textId="77777777" w:rsidTr="00552A8E">
        <w:tc>
          <w:tcPr>
            <w:tcW w:w="7196" w:type="dxa"/>
          </w:tcPr>
          <w:p w14:paraId="656CB68E" w14:textId="0A65A05C" w:rsidR="00552A8E" w:rsidRPr="00B7385D" w:rsidRDefault="00552A8E" w:rsidP="00A5669F">
            <w:pPr>
              <w:rPr>
                <w:rFonts w:asciiTheme="minorHAnsi" w:hAnsiTheme="minorHAnsi" w:cs="Arial"/>
                <w:szCs w:val="20"/>
              </w:rPr>
            </w:pPr>
            <w:r w:rsidRPr="00B7385D">
              <w:rPr>
                <w:rFonts w:asciiTheme="minorHAnsi" w:hAnsiTheme="minorHAnsi" w:cs="Arial"/>
                <w:szCs w:val="20"/>
                <w:u w:val="single"/>
              </w:rPr>
              <w:t>Øvrige sager</w:t>
            </w:r>
          </w:p>
        </w:tc>
        <w:tc>
          <w:tcPr>
            <w:tcW w:w="2126" w:type="dxa"/>
          </w:tcPr>
          <w:p w14:paraId="16A46365" w14:textId="77777777" w:rsidR="00552A8E" w:rsidRPr="00983D95" w:rsidRDefault="00552A8E" w:rsidP="00A5669F">
            <w:pPr>
              <w:rPr>
                <w:rFonts w:asciiTheme="minorHAnsi" w:hAnsiTheme="minorHAnsi" w:cs="Arial"/>
                <w:szCs w:val="20"/>
              </w:rPr>
            </w:pPr>
          </w:p>
        </w:tc>
        <w:tc>
          <w:tcPr>
            <w:tcW w:w="2178" w:type="dxa"/>
          </w:tcPr>
          <w:p w14:paraId="3B85CC32" w14:textId="71CAE49D" w:rsidR="00552A8E" w:rsidRPr="00983D95" w:rsidRDefault="00552A8E" w:rsidP="00A5669F">
            <w:pPr>
              <w:rPr>
                <w:rFonts w:asciiTheme="minorHAnsi" w:hAnsiTheme="minorHAnsi" w:cs="Arial"/>
                <w:szCs w:val="20"/>
              </w:rPr>
            </w:pPr>
            <w:r w:rsidRPr="00983D95">
              <w:rPr>
                <w:rFonts w:asciiTheme="minorHAnsi" w:hAnsiTheme="minorHAnsi" w:cs="Arial"/>
                <w:szCs w:val="20"/>
              </w:rPr>
              <w:t>Beslutning om hvilken instans der skal træffe afgørelse i pågældende</w:t>
            </w:r>
            <w:r>
              <w:rPr>
                <w:rFonts w:asciiTheme="minorHAnsi" w:hAnsiTheme="minorHAnsi" w:cs="Arial"/>
                <w:szCs w:val="20"/>
              </w:rPr>
              <w:t xml:space="preserve"> sag. SN informeres efter behov</w:t>
            </w:r>
          </w:p>
        </w:tc>
        <w:tc>
          <w:tcPr>
            <w:tcW w:w="2152" w:type="dxa"/>
          </w:tcPr>
          <w:p w14:paraId="16F75DFA" w14:textId="77777777" w:rsidR="00552A8E" w:rsidRPr="00983D95" w:rsidRDefault="00552A8E" w:rsidP="00A5669F">
            <w:pPr>
              <w:rPr>
                <w:rFonts w:asciiTheme="minorHAnsi" w:hAnsiTheme="minorHAnsi" w:cs="Arial"/>
                <w:szCs w:val="20"/>
              </w:rPr>
            </w:pPr>
          </w:p>
        </w:tc>
      </w:tr>
    </w:tbl>
    <w:p w14:paraId="036A5344" w14:textId="77777777" w:rsidR="00FD0B0C" w:rsidRPr="00047F27" w:rsidRDefault="00FD0B0C" w:rsidP="005D1620">
      <w:pPr>
        <w:spacing w:after="0"/>
        <w:jc w:val="both"/>
        <w:rPr>
          <w:rFonts w:cs="Arial"/>
          <w:szCs w:val="20"/>
        </w:rPr>
      </w:pPr>
    </w:p>
    <w:sectPr w:rsidR="00FD0B0C" w:rsidRPr="00047F27" w:rsidSect="00983D95">
      <w:pgSz w:w="16838" w:h="11906" w:orient="landscape"/>
      <w:pgMar w:top="1021" w:right="1134" w:bottom="102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D011" w14:textId="77777777" w:rsidR="003B11D1" w:rsidRDefault="003B11D1" w:rsidP="00E16C5A">
      <w:pPr>
        <w:spacing w:after="0" w:line="240" w:lineRule="auto"/>
      </w:pPr>
      <w:r>
        <w:separator/>
      </w:r>
    </w:p>
  </w:endnote>
  <w:endnote w:type="continuationSeparator" w:id="0">
    <w:p w14:paraId="6C98DCAB" w14:textId="77777777" w:rsidR="003B11D1" w:rsidRDefault="003B11D1"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76ED" w14:textId="77777777" w:rsidR="003B11D1" w:rsidRDefault="003B11D1" w:rsidP="00E16C5A">
      <w:pPr>
        <w:spacing w:after="0" w:line="240" w:lineRule="auto"/>
      </w:pPr>
      <w:r>
        <w:separator/>
      </w:r>
    </w:p>
  </w:footnote>
  <w:footnote w:type="continuationSeparator" w:id="0">
    <w:p w14:paraId="67339C62" w14:textId="77777777" w:rsidR="003B11D1" w:rsidRDefault="003B11D1"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C6C3" w14:textId="77777777" w:rsidR="00E16C5A" w:rsidRDefault="00E16C5A" w:rsidP="00E16C5A">
    <w:pPr>
      <w:pStyle w:val="Sidehoved"/>
      <w:jc w:val="right"/>
    </w:pPr>
    <w:r>
      <w:rPr>
        <w:noProof/>
        <w:lang w:eastAsia="da-DK"/>
      </w:rPr>
      <w:drawing>
        <wp:inline distT="0" distB="0" distL="0" distR="0" wp14:anchorId="791A7ACC" wp14:editId="07E5E690">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54"/>
    <w:multiLevelType w:val="hybridMultilevel"/>
    <w:tmpl w:val="77F441EA"/>
    <w:lvl w:ilvl="0" w:tplc="04060001">
      <w:start w:val="1"/>
      <w:numFmt w:val="bullet"/>
      <w:lvlText w:val=""/>
      <w:lvlJc w:val="left"/>
      <w:pPr>
        <w:ind w:left="368" w:hanging="360"/>
      </w:pPr>
      <w:rPr>
        <w:rFonts w:ascii="Symbol" w:hAnsi="Symbol" w:hint="default"/>
      </w:rPr>
    </w:lvl>
    <w:lvl w:ilvl="1" w:tplc="04060003" w:tentative="1">
      <w:start w:val="1"/>
      <w:numFmt w:val="bullet"/>
      <w:lvlText w:val="o"/>
      <w:lvlJc w:val="left"/>
      <w:pPr>
        <w:ind w:left="1088" w:hanging="360"/>
      </w:pPr>
      <w:rPr>
        <w:rFonts w:ascii="Courier New" w:hAnsi="Courier New" w:cs="Courier New" w:hint="default"/>
      </w:rPr>
    </w:lvl>
    <w:lvl w:ilvl="2" w:tplc="04060005" w:tentative="1">
      <w:start w:val="1"/>
      <w:numFmt w:val="bullet"/>
      <w:lvlText w:val=""/>
      <w:lvlJc w:val="left"/>
      <w:pPr>
        <w:ind w:left="1808" w:hanging="360"/>
      </w:pPr>
      <w:rPr>
        <w:rFonts w:ascii="Wingdings" w:hAnsi="Wingdings" w:hint="default"/>
      </w:rPr>
    </w:lvl>
    <w:lvl w:ilvl="3" w:tplc="04060001" w:tentative="1">
      <w:start w:val="1"/>
      <w:numFmt w:val="bullet"/>
      <w:lvlText w:val=""/>
      <w:lvlJc w:val="left"/>
      <w:pPr>
        <w:ind w:left="2528" w:hanging="360"/>
      </w:pPr>
      <w:rPr>
        <w:rFonts w:ascii="Symbol" w:hAnsi="Symbol" w:hint="default"/>
      </w:rPr>
    </w:lvl>
    <w:lvl w:ilvl="4" w:tplc="04060003" w:tentative="1">
      <w:start w:val="1"/>
      <w:numFmt w:val="bullet"/>
      <w:lvlText w:val="o"/>
      <w:lvlJc w:val="left"/>
      <w:pPr>
        <w:ind w:left="3248" w:hanging="360"/>
      </w:pPr>
      <w:rPr>
        <w:rFonts w:ascii="Courier New" w:hAnsi="Courier New" w:cs="Courier New" w:hint="default"/>
      </w:rPr>
    </w:lvl>
    <w:lvl w:ilvl="5" w:tplc="04060005" w:tentative="1">
      <w:start w:val="1"/>
      <w:numFmt w:val="bullet"/>
      <w:lvlText w:val=""/>
      <w:lvlJc w:val="left"/>
      <w:pPr>
        <w:ind w:left="3968" w:hanging="360"/>
      </w:pPr>
      <w:rPr>
        <w:rFonts w:ascii="Wingdings" w:hAnsi="Wingdings" w:hint="default"/>
      </w:rPr>
    </w:lvl>
    <w:lvl w:ilvl="6" w:tplc="04060001" w:tentative="1">
      <w:start w:val="1"/>
      <w:numFmt w:val="bullet"/>
      <w:lvlText w:val=""/>
      <w:lvlJc w:val="left"/>
      <w:pPr>
        <w:ind w:left="4688" w:hanging="360"/>
      </w:pPr>
      <w:rPr>
        <w:rFonts w:ascii="Symbol" w:hAnsi="Symbol" w:hint="default"/>
      </w:rPr>
    </w:lvl>
    <w:lvl w:ilvl="7" w:tplc="04060003" w:tentative="1">
      <w:start w:val="1"/>
      <w:numFmt w:val="bullet"/>
      <w:lvlText w:val="o"/>
      <w:lvlJc w:val="left"/>
      <w:pPr>
        <w:ind w:left="5408" w:hanging="360"/>
      </w:pPr>
      <w:rPr>
        <w:rFonts w:ascii="Courier New" w:hAnsi="Courier New" w:cs="Courier New" w:hint="default"/>
      </w:rPr>
    </w:lvl>
    <w:lvl w:ilvl="8" w:tplc="04060005" w:tentative="1">
      <w:start w:val="1"/>
      <w:numFmt w:val="bullet"/>
      <w:lvlText w:val=""/>
      <w:lvlJc w:val="left"/>
      <w:pPr>
        <w:ind w:left="6128" w:hanging="360"/>
      </w:pPr>
      <w:rPr>
        <w:rFonts w:ascii="Wingdings" w:hAnsi="Wingdings" w:hint="default"/>
      </w:rPr>
    </w:lvl>
  </w:abstractNum>
  <w:abstractNum w:abstractNumId="1" w15:restartNumberingAfterBreak="0">
    <w:nsid w:val="09291256"/>
    <w:multiLevelType w:val="hybridMultilevel"/>
    <w:tmpl w:val="3AA8B4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E922A43"/>
    <w:multiLevelType w:val="hybridMultilevel"/>
    <w:tmpl w:val="F244D5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B12302C"/>
    <w:multiLevelType w:val="hybridMultilevel"/>
    <w:tmpl w:val="63A2AB96"/>
    <w:lvl w:ilvl="0" w:tplc="4ED2392E">
      <w:start w:val="1"/>
      <w:numFmt w:val="bullet"/>
      <w:lvlText w:val=""/>
      <w:lvlJc w:val="left"/>
      <w:pPr>
        <w:ind w:left="360" w:hanging="360"/>
      </w:pPr>
      <w:rPr>
        <w:rFonts w:ascii="Symbol" w:hAnsi="Symbol"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5706026"/>
    <w:multiLevelType w:val="hybridMultilevel"/>
    <w:tmpl w:val="CFE04C8E"/>
    <w:lvl w:ilvl="0" w:tplc="317A6034">
      <w:start w:val="1"/>
      <w:numFmt w:val="bullet"/>
      <w:lvlText w:val=""/>
      <w:lvlJc w:val="left"/>
      <w:pPr>
        <w:ind w:left="360" w:hanging="360"/>
      </w:pPr>
      <w:rPr>
        <w:rFonts w:ascii="Symbol" w:hAnsi="Symbol" w:hint="default"/>
        <w:sz w:val="20"/>
        <w:szCs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8B85675"/>
    <w:multiLevelType w:val="hybridMultilevel"/>
    <w:tmpl w:val="FB2E9CA0"/>
    <w:lvl w:ilvl="0" w:tplc="04060001">
      <w:start w:val="1"/>
      <w:numFmt w:val="bullet"/>
      <w:lvlText w:val=""/>
      <w:lvlJc w:val="left"/>
      <w:pPr>
        <w:ind w:left="408" w:hanging="360"/>
      </w:pPr>
      <w:rPr>
        <w:rFonts w:ascii="Symbol" w:hAnsi="Symbol"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6" w15:restartNumberingAfterBreak="0">
    <w:nsid w:val="28FE4813"/>
    <w:multiLevelType w:val="hybridMultilevel"/>
    <w:tmpl w:val="692EAA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C061F17"/>
    <w:multiLevelType w:val="hybridMultilevel"/>
    <w:tmpl w:val="C79A16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C69729B"/>
    <w:multiLevelType w:val="hybridMultilevel"/>
    <w:tmpl w:val="D99482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9" w15:restartNumberingAfterBreak="0">
    <w:nsid w:val="31D90FE7"/>
    <w:multiLevelType w:val="hybridMultilevel"/>
    <w:tmpl w:val="90F0CC8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5A1733B"/>
    <w:multiLevelType w:val="hybridMultilevel"/>
    <w:tmpl w:val="D29C3C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7147F14"/>
    <w:multiLevelType w:val="hybridMultilevel"/>
    <w:tmpl w:val="EEB07A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D7702DF"/>
    <w:multiLevelType w:val="hybridMultilevel"/>
    <w:tmpl w:val="02362F04"/>
    <w:lvl w:ilvl="0" w:tplc="45183C3A">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62B4CD3"/>
    <w:multiLevelType w:val="hybridMultilevel"/>
    <w:tmpl w:val="0F8CA9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E353864"/>
    <w:multiLevelType w:val="hybridMultilevel"/>
    <w:tmpl w:val="25AED7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12B5016"/>
    <w:multiLevelType w:val="hybridMultilevel"/>
    <w:tmpl w:val="62A6F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4727A59"/>
    <w:multiLevelType w:val="hybridMultilevel"/>
    <w:tmpl w:val="7012067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62E0A5B"/>
    <w:multiLevelType w:val="hybridMultilevel"/>
    <w:tmpl w:val="F294D5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D050E12"/>
    <w:multiLevelType w:val="hybridMultilevel"/>
    <w:tmpl w:val="ED1CEA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7E8B7536"/>
    <w:multiLevelType w:val="hybridMultilevel"/>
    <w:tmpl w:val="D70EC6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435489432">
    <w:abstractNumId w:val="7"/>
  </w:num>
  <w:num w:numId="2" w16cid:durableId="611669908">
    <w:abstractNumId w:val="1"/>
  </w:num>
  <w:num w:numId="3" w16cid:durableId="518859066">
    <w:abstractNumId w:val="5"/>
  </w:num>
  <w:num w:numId="4" w16cid:durableId="1169713811">
    <w:abstractNumId w:val="0"/>
  </w:num>
  <w:num w:numId="5" w16cid:durableId="395008114">
    <w:abstractNumId w:val="8"/>
  </w:num>
  <w:num w:numId="6" w16cid:durableId="961500355">
    <w:abstractNumId w:val="9"/>
  </w:num>
  <w:num w:numId="7" w16cid:durableId="208734913">
    <w:abstractNumId w:val="13"/>
  </w:num>
  <w:num w:numId="8" w16cid:durableId="1655136301">
    <w:abstractNumId w:val="19"/>
  </w:num>
  <w:num w:numId="9" w16cid:durableId="895044260">
    <w:abstractNumId w:val="4"/>
  </w:num>
  <w:num w:numId="10" w16cid:durableId="817500881">
    <w:abstractNumId w:val="3"/>
  </w:num>
  <w:num w:numId="11" w16cid:durableId="1045717167">
    <w:abstractNumId w:val="6"/>
  </w:num>
  <w:num w:numId="12" w16cid:durableId="256523594">
    <w:abstractNumId w:val="14"/>
  </w:num>
  <w:num w:numId="13" w16cid:durableId="478109197">
    <w:abstractNumId w:val="17"/>
  </w:num>
  <w:num w:numId="14" w16cid:durableId="1883439256">
    <w:abstractNumId w:val="10"/>
  </w:num>
  <w:num w:numId="15" w16cid:durableId="794560764">
    <w:abstractNumId w:val="16"/>
  </w:num>
  <w:num w:numId="16" w16cid:durableId="133522565">
    <w:abstractNumId w:val="18"/>
  </w:num>
  <w:num w:numId="17" w16cid:durableId="874195988">
    <w:abstractNumId w:val="11"/>
  </w:num>
  <w:num w:numId="18" w16cid:durableId="1516963121">
    <w:abstractNumId w:val="2"/>
  </w:num>
  <w:num w:numId="19" w16cid:durableId="412969440">
    <w:abstractNumId w:val="15"/>
  </w:num>
  <w:num w:numId="20" w16cid:durableId="27411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F8"/>
    <w:rsid w:val="00020AB2"/>
    <w:rsid w:val="00023FF1"/>
    <w:rsid w:val="00027D3B"/>
    <w:rsid w:val="00047F27"/>
    <w:rsid w:val="00067F4B"/>
    <w:rsid w:val="000B3D38"/>
    <w:rsid w:val="000C197B"/>
    <w:rsid w:val="000E32E4"/>
    <w:rsid w:val="000F00DD"/>
    <w:rsid w:val="00141379"/>
    <w:rsid w:val="00154492"/>
    <w:rsid w:val="001735C7"/>
    <w:rsid w:val="001B41B5"/>
    <w:rsid w:val="00203F65"/>
    <w:rsid w:val="002114EB"/>
    <w:rsid w:val="00220DE2"/>
    <w:rsid w:val="002643E9"/>
    <w:rsid w:val="002675F8"/>
    <w:rsid w:val="00284E8A"/>
    <w:rsid w:val="002F25C6"/>
    <w:rsid w:val="003202AA"/>
    <w:rsid w:val="00320884"/>
    <w:rsid w:val="003A0A25"/>
    <w:rsid w:val="003A5619"/>
    <w:rsid w:val="003B11D1"/>
    <w:rsid w:val="003B1CB0"/>
    <w:rsid w:val="003C2991"/>
    <w:rsid w:val="003D1023"/>
    <w:rsid w:val="003F5190"/>
    <w:rsid w:val="00401533"/>
    <w:rsid w:val="00410B41"/>
    <w:rsid w:val="00443517"/>
    <w:rsid w:val="00456E16"/>
    <w:rsid w:val="00467F56"/>
    <w:rsid w:val="004842D6"/>
    <w:rsid w:val="00492B3D"/>
    <w:rsid w:val="004E2D69"/>
    <w:rsid w:val="005015A0"/>
    <w:rsid w:val="00536BE5"/>
    <w:rsid w:val="00541ADA"/>
    <w:rsid w:val="00552A8E"/>
    <w:rsid w:val="0056191C"/>
    <w:rsid w:val="00566C25"/>
    <w:rsid w:val="005A3A91"/>
    <w:rsid w:val="005D1620"/>
    <w:rsid w:val="00601529"/>
    <w:rsid w:val="0062156A"/>
    <w:rsid w:val="00667D6C"/>
    <w:rsid w:val="00686C80"/>
    <w:rsid w:val="006A089F"/>
    <w:rsid w:val="006C7406"/>
    <w:rsid w:val="006F21F5"/>
    <w:rsid w:val="006F4428"/>
    <w:rsid w:val="006F4EF7"/>
    <w:rsid w:val="006F56AA"/>
    <w:rsid w:val="00720222"/>
    <w:rsid w:val="00735E96"/>
    <w:rsid w:val="00735F73"/>
    <w:rsid w:val="00747245"/>
    <w:rsid w:val="007621BC"/>
    <w:rsid w:val="00764537"/>
    <w:rsid w:val="00773B3F"/>
    <w:rsid w:val="007D4930"/>
    <w:rsid w:val="007F6E3B"/>
    <w:rsid w:val="0080699A"/>
    <w:rsid w:val="00814C43"/>
    <w:rsid w:val="00872A46"/>
    <w:rsid w:val="008736C3"/>
    <w:rsid w:val="00940D22"/>
    <w:rsid w:val="00954227"/>
    <w:rsid w:val="009661F8"/>
    <w:rsid w:val="00981E39"/>
    <w:rsid w:val="00983D95"/>
    <w:rsid w:val="009A2AD6"/>
    <w:rsid w:val="009C35EF"/>
    <w:rsid w:val="009C60B2"/>
    <w:rsid w:val="009D02D3"/>
    <w:rsid w:val="00A46FDC"/>
    <w:rsid w:val="00AB0F9F"/>
    <w:rsid w:val="00AE4DD0"/>
    <w:rsid w:val="00AE6963"/>
    <w:rsid w:val="00B03913"/>
    <w:rsid w:val="00B33E3C"/>
    <w:rsid w:val="00B7385D"/>
    <w:rsid w:val="00B75E2E"/>
    <w:rsid w:val="00B92662"/>
    <w:rsid w:val="00C35778"/>
    <w:rsid w:val="00C45D31"/>
    <w:rsid w:val="00C56487"/>
    <w:rsid w:val="00C57B8B"/>
    <w:rsid w:val="00C63CDD"/>
    <w:rsid w:val="00C74822"/>
    <w:rsid w:val="00C776AA"/>
    <w:rsid w:val="00CA350E"/>
    <w:rsid w:val="00CB352F"/>
    <w:rsid w:val="00CD18F1"/>
    <w:rsid w:val="00CE582C"/>
    <w:rsid w:val="00CF48DA"/>
    <w:rsid w:val="00D626D7"/>
    <w:rsid w:val="00D74D2B"/>
    <w:rsid w:val="00D84266"/>
    <w:rsid w:val="00DA68C4"/>
    <w:rsid w:val="00DC36B7"/>
    <w:rsid w:val="00DE1EC9"/>
    <w:rsid w:val="00DE3111"/>
    <w:rsid w:val="00DE7787"/>
    <w:rsid w:val="00E16C5A"/>
    <w:rsid w:val="00E73C83"/>
    <w:rsid w:val="00E91DE1"/>
    <w:rsid w:val="00EB18CC"/>
    <w:rsid w:val="00EE6A6A"/>
    <w:rsid w:val="00F24459"/>
    <w:rsid w:val="00F4371E"/>
    <w:rsid w:val="00F44001"/>
    <w:rsid w:val="00F52005"/>
    <w:rsid w:val="00F63309"/>
    <w:rsid w:val="00F7225B"/>
    <w:rsid w:val="00FB2E0C"/>
    <w:rsid w:val="00FD0B0C"/>
    <w:rsid w:val="00FD7757"/>
    <w:rsid w:val="00FE5F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D72848"/>
  <w15:docId w15:val="{1C57DD95-7439-47DD-BEE9-4AF9D71B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83D95"/>
    <w:pPr>
      <w:widowControl w:val="0"/>
      <w:spacing w:after="0"/>
      <w:ind w:left="720"/>
      <w:contextualSpacing/>
    </w:pPr>
    <w:rPr>
      <w:rFonts w:ascii="Times New Roman" w:hAnsi="Times New Roman"/>
      <w:sz w:val="24"/>
    </w:rPr>
  </w:style>
  <w:style w:type="character" w:styleId="Kommentarhenvisning">
    <w:name w:val="annotation reference"/>
    <w:basedOn w:val="Standardskrifttypeiafsnit"/>
    <w:uiPriority w:val="99"/>
    <w:semiHidden/>
    <w:unhideWhenUsed/>
    <w:rsid w:val="009C35EF"/>
    <w:rPr>
      <w:sz w:val="16"/>
      <w:szCs w:val="16"/>
    </w:rPr>
  </w:style>
  <w:style w:type="paragraph" w:styleId="Kommentartekst">
    <w:name w:val="annotation text"/>
    <w:basedOn w:val="Normal"/>
    <w:link w:val="KommentartekstTegn"/>
    <w:uiPriority w:val="99"/>
    <w:semiHidden/>
    <w:unhideWhenUsed/>
    <w:rsid w:val="009C35EF"/>
    <w:pPr>
      <w:spacing w:line="240" w:lineRule="auto"/>
    </w:pPr>
    <w:rPr>
      <w:szCs w:val="20"/>
    </w:rPr>
  </w:style>
  <w:style w:type="character" w:customStyle="1" w:styleId="KommentartekstTegn">
    <w:name w:val="Kommentartekst Tegn"/>
    <w:basedOn w:val="Standardskrifttypeiafsnit"/>
    <w:link w:val="Kommentartekst"/>
    <w:uiPriority w:val="99"/>
    <w:semiHidden/>
    <w:rsid w:val="009C35EF"/>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9C35EF"/>
    <w:rPr>
      <w:b/>
      <w:bCs/>
    </w:rPr>
  </w:style>
  <w:style w:type="character" w:customStyle="1" w:styleId="KommentaremneTegn">
    <w:name w:val="Kommentaremne Tegn"/>
    <w:basedOn w:val="KommentartekstTegn"/>
    <w:link w:val="Kommentaremne"/>
    <w:uiPriority w:val="99"/>
    <w:semiHidden/>
    <w:rsid w:val="009C35EF"/>
    <w:rPr>
      <w:rFonts w:ascii="Arial" w:hAnsi="Arial"/>
      <w:b/>
      <w:bCs/>
      <w:sz w:val="20"/>
      <w:szCs w:val="20"/>
    </w:rPr>
  </w:style>
  <w:style w:type="paragraph" w:styleId="Korrektur">
    <w:name w:val="Revision"/>
    <w:hidden/>
    <w:uiPriority w:val="99"/>
    <w:semiHidden/>
    <w:rsid w:val="00141379"/>
    <w:pPr>
      <w:spacing w:after="0" w:line="240" w:lineRule="auto"/>
    </w:pPr>
    <w:rPr>
      <w:rFonts w:ascii="Arial" w:hAnsi="Arial"/>
      <w:sz w:val="20"/>
    </w:rPr>
  </w:style>
  <w:style w:type="character" w:styleId="Ulstomtale">
    <w:name w:val="Unresolved Mention"/>
    <w:basedOn w:val="Standardskrifttypeiafsnit"/>
    <w:uiPriority w:val="99"/>
    <w:semiHidden/>
    <w:unhideWhenUsed/>
    <w:rsid w:val="006A089F"/>
    <w:rPr>
      <w:color w:val="605E5C"/>
      <w:shd w:val="clear" w:color="auto" w:fill="E1DFDD"/>
    </w:rPr>
  </w:style>
  <w:style w:type="character" w:styleId="BesgtLink">
    <w:name w:val="FollowedHyperlink"/>
    <w:basedOn w:val="Standardskrifttypeiafsnit"/>
    <w:uiPriority w:val="99"/>
    <w:semiHidden/>
    <w:unhideWhenUsed/>
    <w:rsid w:val="00F24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6323">
      <w:bodyDiv w:val="1"/>
      <w:marLeft w:val="0"/>
      <w:marRight w:val="0"/>
      <w:marTop w:val="0"/>
      <w:marBottom w:val="0"/>
      <w:divBdr>
        <w:top w:val="none" w:sz="0" w:space="0" w:color="auto"/>
        <w:left w:val="none" w:sz="0" w:space="0" w:color="auto"/>
        <w:bottom w:val="none" w:sz="0" w:space="0" w:color="auto"/>
        <w:right w:val="none" w:sz="0" w:space="0" w:color="auto"/>
      </w:divBdr>
      <w:divsChild>
        <w:div w:id="168982511">
          <w:marLeft w:val="0"/>
          <w:marRight w:val="0"/>
          <w:marTop w:val="0"/>
          <w:marBottom w:val="0"/>
          <w:divBdr>
            <w:top w:val="none" w:sz="0" w:space="0" w:color="auto"/>
            <w:left w:val="none" w:sz="0" w:space="0" w:color="auto"/>
            <w:bottom w:val="none" w:sz="0" w:space="0" w:color="auto"/>
            <w:right w:val="none" w:sz="0" w:space="0" w:color="auto"/>
          </w:divBdr>
        </w:div>
        <w:div w:id="679964384">
          <w:marLeft w:val="0"/>
          <w:marRight w:val="0"/>
          <w:marTop w:val="0"/>
          <w:marBottom w:val="0"/>
          <w:divBdr>
            <w:top w:val="none" w:sz="0" w:space="0" w:color="auto"/>
            <w:left w:val="none" w:sz="0" w:space="0" w:color="auto"/>
            <w:bottom w:val="none" w:sz="0" w:space="0" w:color="auto"/>
            <w:right w:val="none" w:sz="0" w:space="0" w:color="auto"/>
          </w:divBdr>
        </w:div>
        <w:div w:id="907112332">
          <w:marLeft w:val="0"/>
          <w:marRight w:val="0"/>
          <w:marTop w:val="0"/>
          <w:marBottom w:val="0"/>
          <w:divBdr>
            <w:top w:val="none" w:sz="0" w:space="0" w:color="auto"/>
            <w:left w:val="none" w:sz="0" w:space="0" w:color="auto"/>
            <w:bottom w:val="none" w:sz="0" w:space="0" w:color="auto"/>
            <w:right w:val="none" w:sz="0" w:space="0" w:color="auto"/>
          </w:divBdr>
        </w:div>
        <w:div w:id="1939830510">
          <w:marLeft w:val="0"/>
          <w:marRight w:val="0"/>
          <w:marTop w:val="0"/>
          <w:marBottom w:val="0"/>
          <w:divBdr>
            <w:top w:val="none" w:sz="0" w:space="0" w:color="auto"/>
            <w:left w:val="none" w:sz="0" w:space="0" w:color="auto"/>
            <w:bottom w:val="none" w:sz="0" w:space="0" w:color="auto"/>
            <w:right w:val="none" w:sz="0" w:space="0" w:color="auto"/>
          </w:divBdr>
        </w:div>
        <w:div w:id="1000961974">
          <w:marLeft w:val="0"/>
          <w:marRight w:val="0"/>
          <w:marTop w:val="0"/>
          <w:marBottom w:val="0"/>
          <w:divBdr>
            <w:top w:val="none" w:sz="0" w:space="0" w:color="auto"/>
            <w:left w:val="none" w:sz="0" w:space="0" w:color="auto"/>
            <w:bottom w:val="none" w:sz="0" w:space="0" w:color="auto"/>
            <w:right w:val="none" w:sz="0" w:space="0" w:color="auto"/>
          </w:divBdr>
        </w:div>
        <w:div w:id="683868282">
          <w:marLeft w:val="0"/>
          <w:marRight w:val="0"/>
          <w:marTop w:val="0"/>
          <w:marBottom w:val="0"/>
          <w:divBdr>
            <w:top w:val="none" w:sz="0" w:space="0" w:color="auto"/>
            <w:left w:val="none" w:sz="0" w:space="0" w:color="auto"/>
            <w:bottom w:val="none" w:sz="0" w:space="0" w:color="auto"/>
            <w:right w:val="none" w:sz="0" w:space="0" w:color="auto"/>
          </w:divBdr>
        </w:div>
        <w:div w:id="1334795243">
          <w:marLeft w:val="0"/>
          <w:marRight w:val="0"/>
          <w:marTop w:val="0"/>
          <w:marBottom w:val="0"/>
          <w:divBdr>
            <w:top w:val="none" w:sz="0" w:space="0" w:color="auto"/>
            <w:left w:val="none" w:sz="0" w:space="0" w:color="auto"/>
            <w:bottom w:val="none" w:sz="0" w:space="0" w:color="auto"/>
            <w:right w:val="none" w:sz="0" w:space="0" w:color="auto"/>
          </w:divBdr>
        </w:div>
        <w:div w:id="1666665013">
          <w:marLeft w:val="0"/>
          <w:marRight w:val="0"/>
          <w:marTop w:val="0"/>
          <w:marBottom w:val="0"/>
          <w:divBdr>
            <w:top w:val="none" w:sz="0" w:space="0" w:color="auto"/>
            <w:left w:val="none" w:sz="0" w:space="0" w:color="auto"/>
            <w:bottom w:val="none" w:sz="0" w:space="0" w:color="auto"/>
            <w:right w:val="none" w:sz="0" w:space="0" w:color="auto"/>
          </w:divBdr>
        </w:div>
        <w:div w:id="2046710083">
          <w:marLeft w:val="0"/>
          <w:marRight w:val="0"/>
          <w:marTop w:val="0"/>
          <w:marBottom w:val="0"/>
          <w:divBdr>
            <w:top w:val="none" w:sz="0" w:space="0" w:color="auto"/>
            <w:left w:val="none" w:sz="0" w:space="0" w:color="auto"/>
            <w:bottom w:val="none" w:sz="0" w:space="0" w:color="auto"/>
            <w:right w:val="none" w:sz="0" w:space="0" w:color="auto"/>
          </w:divBdr>
        </w:div>
        <w:div w:id="458570924">
          <w:marLeft w:val="0"/>
          <w:marRight w:val="0"/>
          <w:marTop w:val="0"/>
          <w:marBottom w:val="0"/>
          <w:divBdr>
            <w:top w:val="none" w:sz="0" w:space="0" w:color="auto"/>
            <w:left w:val="none" w:sz="0" w:space="0" w:color="auto"/>
            <w:bottom w:val="none" w:sz="0" w:space="0" w:color="auto"/>
            <w:right w:val="none" w:sz="0" w:space="0" w:color="auto"/>
          </w:divBdr>
        </w:div>
        <w:div w:id="977152135">
          <w:marLeft w:val="0"/>
          <w:marRight w:val="0"/>
          <w:marTop w:val="0"/>
          <w:marBottom w:val="0"/>
          <w:divBdr>
            <w:top w:val="none" w:sz="0" w:space="0" w:color="auto"/>
            <w:left w:val="none" w:sz="0" w:space="0" w:color="auto"/>
            <w:bottom w:val="none" w:sz="0" w:space="0" w:color="auto"/>
            <w:right w:val="none" w:sz="0" w:space="0" w:color="auto"/>
          </w:divBdr>
        </w:div>
        <w:div w:id="1577087906">
          <w:marLeft w:val="0"/>
          <w:marRight w:val="0"/>
          <w:marTop w:val="0"/>
          <w:marBottom w:val="0"/>
          <w:divBdr>
            <w:top w:val="none" w:sz="0" w:space="0" w:color="auto"/>
            <w:left w:val="none" w:sz="0" w:space="0" w:color="auto"/>
            <w:bottom w:val="none" w:sz="0" w:space="0" w:color="auto"/>
            <w:right w:val="none" w:sz="0" w:space="0" w:color="auto"/>
          </w:divBdr>
        </w:div>
        <w:div w:id="1175921203">
          <w:marLeft w:val="0"/>
          <w:marRight w:val="0"/>
          <w:marTop w:val="0"/>
          <w:marBottom w:val="0"/>
          <w:divBdr>
            <w:top w:val="none" w:sz="0" w:space="0" w:color="auto"/>
            <w:left w:val="none" w:sz="0" w:space="0" w:color="auto"/>
            <w:bottom w:val="none" w:sz="0" w:space="0" w:color="auto"/>
            <w:right w:val="none" w:sz="0" w:space="0" w:color="auto"/>
          </w:divBdr>
        </w:div>
        <w:div w:id="416756459">
          <w:marLeft w:val="0"/>
          <w:marRight w:val="0"/>
          <w:marTop w:val="0"/>
          <w:marBottom w:val="0"/>
          <w:divBdr>
            <w:top w:val="none" w:sz="0" w:space="0" w:color="auto"/>
            <w:left w:val="none" w:sz="0" w:space="0" w:color="auto"/>
            <w:bottom w:val="none" w:sz="0" w:space="0" w:color="auto"/>
            <w:right w:val="none" w:sz="0" w:space="0" w:color="auto"/>
          </w:divBdr>
        </w:div>
        <w:div w:id="2030796118">
          <w:marLeft w:val="0"/>
          <w:marRight w:val="0"/>
          <w:marTop w:val="0"/>
          <w:marBottom w:val="0"/>
          <w:divBdr>
            <w:top w:val="none" w:sz="0" w:space="0" w:color="auto"/>
            <w:left w:val="none" w:sz="0" w:space="0" w:color="auto"/>
            <w:bottom w:val="none" w:sz="0" w:space="0" w:color="auto"/>
            <w:right w:val="none" w:sz="0" w:space="0" w:color="auto"/>
          </w:divBdr>
        </w:div>
        <w:div w:id="1743521559">
          <w:marLeft w:val="0"/>
          <w:marRight w:val="0"/>
          <w:marTop w:val="0"/>
          <w:marBottom w:val="0"/>
          <w:divBdr>
            <w:top w:val="none" w:sz="0" w:space="0" w:color="auto"/>
            <w:left w:val="none" w:sz="0" w:space="0" w:color="auto"/>
            <w:bottom w:val="none" w:sz="0" w:space="0" w:color="auto"/>
            <w:right w:val="none" w:sz="0" w:space="0" w:color="auto"/>
          </w:divBdr>
        </w:div>
        <w:div w:id="16590429">
          <w:marLeft w:val="0"/>
          <w:marRight w:val="0"/>
          <w:marTop w:val="0"/>
          <w:marBottom w:val="0"/>
          <w:divBdr>
            <w:top w:val="none" w:sz="0" w:space="0" w:color="auto"/>
            <w:left w:val="none" w:sz="0" w:space="0" w:color="auto"/>
            <w:bottom w:val="none" w:sz="0" w:space="0" w:color="auto"/>
            <w:right w:val="none" w:sz="0" w:space="0" w:color="auto"/>
          </w:divBdr>
        </w:div>
        <w:div w:id="1379015143">
          <w:marLeft w:val="0"/>
          <w:marRight w:val="0"/>
          <w:marTop w:val="0"/>
          <w:marBottom w:val="0"/>
          <w:divBdr>
            <w:top w:val="none" w:sz="0" w:space="0" w:color="auto"/>
            <w:left w:val="none" w:sz="0" w:space="0" w:color="auto"/>
            <w:bottom w:val="none" w:sz="0" w:space="0" w:color="auto"/>
            <w:right w:val="none" w:sz="0" w:space="0" w:color="auto"/>
          </w:divBdr>
        </w:div>
        <w:div w:id="995573005">
          <w:marLeft w:val="0"/>
          <w:marRight w:val="0"/>
          <w:marTop w:val="0"/>
          <w:marBottom w:val="0"/>
          <w:divBdr>
            <w:top w:val="none" w:sz="0" w:space="0" w:color="auto"/>
            <w:left w:val="none" w:sz="0" w:space="0" w:color="auto"/>
            <w:bottom w:val="none" w:sz="0" w:space="0" w:color="auto"/>
            <w:right w:val="none" w:sz="0" w:space="0" w:color="auto"/>
          </w:divBdr>
        </w:div>
        <w:div w:id="1174493156">
          <w:marLeft w:val="0"/>
          <w:marRight w:val="0"/>
          <w:marTop w:val="0"/>
          <w:marBottom w:val="0"/>
          <w:divBdr>
            <w:top w:val="none" w:sz="0" w:space="0" w:color="auto"/>
            <w:left w:val="none" w:sz="0" w:space="0" w:color="auto"/>
            <w:bottom w:val="none" w:sz="0" w:space="0" w:color="auto"/>
            <w:right w:val="none" w:sz="0" w:space="0" w:color="auto"/>
          </w:divBdr>
        </w:div>
        <w:div w:id="1793286341">
          <w:marLeft w:val="0"/>
          <w:marRight w:val="0"/>
          <w:marTop w:val="0"/>
          <w:marBottom w:val="0"/>
          <w:divBdr>
            <w:top w:val="none" w:sz="0" w:space="0" w:color="auto"/>
            <w:left w:val="none" w:sz="0" w:space="0" w:color="auto"/>
            <w:bottom w:val="none" w:sz="0" w:space="0" w:color="auto"/>
            <w:right w:val="none" w:sz="0" w:space="0" w:color="auto"/>
          </w:divBdr>
        </w:div>
        <w:div w:id="423496791">
          <w:marLeft w:val="0"/>
          <w:marRight w:val="0"/>
          <w:marTop w:val="0"/>
          <w:marBottom w:val="0"/>
          <w:divBdr>
            <w:top w:val="none" w:sz="0" w:space="0" w:color="auto"/>
            <w:left w:val="none" w:sz="0" w:space="0" w:color="auto"/>
            <w:bottom w:val="none" w:sz="0" w:space="0" w:color="auto"/>
            <w:right w:val="none" w:sz="0" w:space="0" w:color="auto"/>
          </w:divBdr>
        </w:div>
        <w:div w:id="1926186265">
          <w:marLeft w:val="0"/>
          <w:marRight w:val="0"/>
          <w:marTop w:val="0"/>
          <w:marBottom w:val="0"/>
          <w:divBdr>
            <w:top w:val="none" w:sz="0" w:space="0" w:color="auto"/>
            <w:left w:val="none" w:sz="0" w:space="0" w:color="auto"/>
            <w:bottom w:val="none" w:sz="0" w:space="0" w:color="auto"/>
            <w:right w:val="none" w:sz="0" w:space="0" w:color="auto"/>
          </w:divBdr>
        </w:div>
        <w:div w:id="1712806041">
          <w:marLeft w:val="0"/>
          <w:marRight w:val="0"/>
          <w:marTop w:val="0"/>
          <w:marBottom w:val="0"/>
          <w:divBdr>
            <w:top w:val="none" w:sz="0" w:space="0" w:color="auto"/>
            <w:left w:val="none" w:sz="0" w:space="0" w:color="auto"/>
            <w:bottom w:val="none" w:sz="0" w:space="0" w:color="auto"/>
            <w:right w:val="none" w:sz="0" w:space="0" w:color="auto"/>
          </w:divBdr>
        </w:div>
        <w:div w:id="87697712">
          <w:marLeft w:val="0"/>
          <w:marRight w:val="0"/>
          <w:marTop w:val="0"/>
          <w:marBottom w:val="0"/>
          <w:divBdr>
            <w:top w:val="none" w:sz="0" w:space="0" w:color="auto"/>
            <w:left w:val="none" w:sz="0" w:space="0" w:color="auto"/>
            <w:bottom w:val="none" w:sz="0" w:space="0" w:color="auto"/>
            <w:right w:val="none" w:sz="0" w:space="0" w:color="auto"/>
          </w:divBdr>
        </w:div>
        <w:div w:id="862061475">
          <w:marLeft w:val="0"/>
          <w:marRight w:val="0"/>
          <w:marTop w:val="0"/>
          <w:marBottom w:val="0"/>
          <w:divBdr>
            <w:top w:val="none" w:sz="0" w:space="0" w:color="auto"/>
            <w:left w:val="none" w:sz="0" w:space="0" w:color="auto"/>
            <w:bottom w:val="none" w:sz="0" w:space="0" w:color="auto"/>
            <w:right w:val="none" w:sz="0" w:space="0" w:color="auto"/>
          </w:divBdr>
        </w:div>
        <w:div w:id="367755209">
          <w:marLeft w:val="0"/>
          <w:marRight w:val="0"/>
          <w:marTop w:val="0"/>
          <w:marBottom w:val="0"/>
          <w:divBdr>
            <w:top w:val="none" w:sz="0" w:space="0" w:color="auto"/>
            <w:left w:val="none" w:sz="0" w:space="0" w:color="auto"/>
            <w:bottom w:val="none" w:sz="0" w:space="0" w:color="auto"/>
            <w:right w:val="none" w:sz="0" w:space="0" w:color="auto"/>
          </w:divBdr>
        </w:div>
        <w:div w:id="1956136378">
          <w:marLeft w:val="0"/>
          <w:marRight w:val="0"/>
          <w:marTop w:val="0"/>
          <w:marBottom w:val="0"/>
          <w:divBdr>
            <w:top w:val="none" w:sz="0" w:space="0" w:color="auto"/>
            <w:left w:val="none" w:sz="0" w:space="0" w:color="auto"/>
            <w:bottom w:val="none" w:sz="0" w:space="0" w:color="auto"/>
            <w:right w:val="none" w:sz="0" w:space="0" w:color="auto"/>
          </w:divBdr>
        </w:div>
        <w:div w:id="75519510">
          <w:marLeft w:val="0"/>
          <w:marRight w:val="0"/>
          <w:marTop w:val="0"/>
          <w:marBottom w:val="0"/>
          <w:divBdr>
            <w:top w:val="none" w:sz="0" w:space="0" w:color="auto"/>
            <w:left w:val="none" w:sz="0" w:space="0" w:color="auto"/>
            <w:bottom w:val="none" w:sz="0" w:space="0" w:color="auto"/>
            <w:right w:val="none" w:sz="0" w:space="0" w:color="auto"/>
          </w:divBdr>
        </w:div>
        <w:div w:id="62046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p@bio.aau.dk" TargetMode="External"/><Relationship Id="rId13" Type="http://schemas.openxmlformats.org/officeDocument/2006/relationships/hyperlink" Target="https://www.aau.dk/uddannelser/optagelse/indskrivning-studieskift-og-gaestestuderende/merit" TargetMode="External"/><Relationship Id="rId18" Type="http://schemas.openxmlformats.org/officeDocument/2006/relationships/hyperlink" Target="https://www.kvalitet.aau.dk/digitalAssets/982/982618_procedure-vedr.-vejledning-af-frafaldstruede-studerende-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u.dk/uddannelser/optagelse/indskrivning-studieskift-og-gaestestuderende/merit" TargetMode="External"/><Relationship Id="rId17" Type="http://schemas.openxmlformats.org/officeDocument/2006/relationships/hyperlink" Target="https://www.aau.dk/uddannelser/optagelse/indskrivning-studieskift-og-gaestestuderende" TargetMode="External"/><Relationship Id="rId2" Type="http://schemas.openxmlformats.org/officeDocument/2006/relationships/numbering" Target="numbering.xml"/><Relationship Id="rId16" Type="http://schemas.openxmlformats.org/officeDocument/2006/relationships/hyperlink" Target="https://www.aau.dk/uddannelser/optagelse/indskrivning-studieskift-og-gaestestuderen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u.dk/uddannelser/optagelse/kandidat/adgangskrav/" TargetMode="External"/><Relationship Id="rId5" Type="http://schemas.openxmlformats.org/officeDocument/2006/relationships/webSettings" Target="webSettings.xml"/><Relationship Id="rId15" Type="http://schemas.openxmlformats.org/officeDocument/2006/relationships/hyperlink" Target="https://www.aau.dk/uddannelser/optagelse/kandidat/adgangskra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board@bio.aau.dk" TargetMode="External"/><Relationship Id="rId14" Type="http://schemas.openxmlformats.org/officeDocument/2006/relationships/hyperlink" Target="https://www.aau.dk/uddannelser/optagelse/indskrivning-studieskift-og-gaestestuder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n.BIO\AppData\Local\Temp\_media_4566_aau_brevskabelon_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3740-5F8E-49F4-82A5-ACD1D834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_media_4566_aau_brevskabelon_dk</Template>
  <TotalTime>17</TotalTime>
  <Pages>9</Pages>
  <Words>2320</Words>
  <Characters>14153</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Boel Larsen</dc:creator>
  <cp:lastModifiedBy>Louise Kiilerich Pratas</cp:lastModifiedBy>
  <cp:revision>9</cp:revision>
  <cp:lastPrinted>2013-01-24T13:04:00Z</cp:lastPrinted>
  <dcterms:created xsi:type="dcterms:W3CDTF">2023-02-15T12:28:00Z</dcterms:created>
  <dcterms:modified xsi:type="dcterms:W3CDTF">2023-02-16T10:55:00Z</dcterms:modified>
</cp:coreProperties>
</file>